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1516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26"/>
        <w:gridCol w:w="3495"/>
        <w:gridCol w:w="10941"/>
      </w:tblGrid>
      <w:tr>
        <w:trPr>
          <w:trHeight w:val="447" w:hRule="atLeast"/>
        </w:trPr>
        <w:tc>
          <w:tcPr>
            <w:tcW w:w="726" w:type="dxa"/>
            <w:tcBorders>
              <w:top w:val="single" w:sz="4" w:space="0" w:color="000000"/>
              <w:left w:val="single" w:sz="4" w:space="0" w:color="000000"/>
              <w:bottom w:val="single" w:sz="4" w:space="0" w:color="000000"/>
              <w:right w:val="single" w:sz="4" w:space="0" w:color="000000"/>
            </w:tcBorders>
            <w:shd w:color="auto" w:fill="F3F3F3" w:val="clear"/>
          </w:tcPr>
          <w:p>
            <w:pPr>
              <w:pStyle w:val="BodyTextIndent"/>
              <w:tabs>
                <w:tab w:val="clear" w:pos="708"/>
                <w:tab w:val="left" w:pos="-391" w:leader="none"/>
              </w:tabs>
              <w:spacing w:before="0" w:after="0"/>
              <w:ind w:left="0"/>
              <w:jc w:val="center"/>
              <w:rPr>
                <w:rFonts w:ascii="Times New Roman" w:hAnsi="Times New Roman" w:cs="Times New Roman"/>
                <w:b/>
                <w:bCs/>
              </w:rPr>
            </w:pPr>
            <w:r>
              <w:rPr>
                <w:rFonts w:cs="Times New Roman" w:ascii="Times New Roman" w:hAnsi="Times New Roman"/>
                <w:b/>
                <w:bCs/>
              </w:rPr>
              <w:t>№</w:t>
            </w:r>
          </w:p>
          <w:p>
            <w:pPr>
              <w:pStyle w:val="BodyTextIndent"/>
              <w:tabs>
                <w:tab w:val="clear" w:pos="708"/>
                <w:tab w:val="left" w:pos="-391" w:leader="none"/>
              </w:tabs>
              <w:spacing w:before="0" w:after="0"/>
              <w:ind w:left="0"/>
              <w:jc w:val="center"/>
              <w:rPr>
                <w:rFonts w:ascii="Times New Roman" w:hAnsi="Times New Roman" w:cs="Times New Roman"/>
                <w:b/>
                <w:bCs/>
              </w:rPr>
            </w:pPr>
            <w:r>
              <w:rPr>
                <w:rFonts w:cs="Times New Roman" w:ascii="Times New Roman" w:hAnsi="Times New Roman"/>
                <w:b/>
                <w:bCs/>
              </w:rPr>
              <w:t>п/п</w:t>
            </w:r>
          </w:p>
        </w:tc>
        <w:tc>
          <w:tcPr>
            <w:tcW w:w="14436"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BodyTextIndent"/>
              <w:tabs>
                <w:tab w:val="clear" w:pos="708"/>
                <w:tab w:val="left" w:pos="0" w:leader="none"/>
              </w:tabs>
              <w:spacing w:before="0" w:after="0"/>
              <w:ind w:left="0"/>
              <w:jc w:val="center"/>
              <w:rPr>
                <w:rFonts w:ascii="Times New Roman" w:hAnsi="Times New Roman" w:cs="Times New Roman"/>
                <w:b/>
                <w:bCs/>
              </w:rPr>
            </w:pPr>
            <w:r>
              <w:rPr>
                <w:rFonts w:cs="Times New Roman" w:ascii="Times New Roman" w:hAnsi="Times New Roman"/>
                <w:b/>
                <w:bCs/>
              </w:rPr>
              <w:t>ИЗВЕЩЕНИЕ О ПРОВЕДЕНИИ ЭЛЕКТРОННОГО КОНКУРСА</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5"/>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t>Заказчик</w:t>
            </w:r>
          </w:p>
          <w:p>
            <w:pPr>
              <w:pStyle w:val="Normal"/>
              <w:jc w:val="both"/>
              <w:rPr/>
            </w:pPr>
            <w:r>
              <w:rPr/>
              <w:t>(контактная информация)</w:t>
            </w:r>
          </w:p>
        </w:tc>
        <w:tc>
          <w:tcPr>
            <w:tcW w:w="10941" w:type="dxa"/>
            <w:tcBorders>
              <w:top w:val="single" w:sz="4" w:space="0" w:color="000000"/>
              <w:left w:val="single" w:sz="4" w:space="0" w:color="000000"/>
              <w:bottom w:val="single" w:sz="4" w:space="0" w:color="000000"/>
              <w:right w:val="single" w:sz="4" w:space="0" w:color="000000"/>
            </w:tcBorders>
          </w:tcPr>
          <w:p>
            <w:pPr>
              <w:pStyle w:val="Normal"/>
              <w:jc w:val="both"/>
              <w:rPr/>
            </w:pPr>
            <w:r>
              <w:rPr/>
              <w:t>Наименование: Администрация Урупского муниципального района Карачаево-Черкесской Республики</w:t>
            </w:r>
          </w:p>
          <w:p>
            <w:pPr>
              <w:pStyle w:val="Normal"/>
              <w:jc w:val="both"/>
              <w:rPr/>
            </w:pPr>
            <w:r>
              <w:rPr/>
              <w:t>Место нахождения: 369260, Россия, Карачаево-Черкесская Республика, Урупский район, ст. Преградная, ул. Советская, 60.</w:t>
            </w:r>
          </w:p>
          <w:p>
            <w:pPr>
              <w:pStyle w:val="Normal"/>
              <w:jc w:val="both"/>
              <w:rPr/>
            </w:pPr>
            <w:r>
              <w:rPr/>
              <w:t>Почтовый адрес: 369260, Россия, Карачаево-Черкесская Республика, Урупский район, ст. Преградная, ул. Советская, 60.</w:t>
            </w:r>
          </w:p>
          <w:p>
            <w:pPr>
              <w:pStyle w:val="Normal"/>
              <w:jc w:val="both"/>
              <w:rPr/>
            </w:pPr>
            <w:r>
              <w:rPr/>
              <w:t>Контактный телефон: 8(87876) 61596</w:t>
            </w:r>
          </w:p>
          <w:p>
            <w:pPr>
              <w:pStyle w:val="Normal"/>
              <w:jc w:val="both"/>
              <w:rPr/>
            </w:pPr>
            <w:r>
              <w:rPr/>
              <w:t>E-mail: econimik_urup@mail.ru</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iCs/>
              </w:rPr>
            </w:pPr>
            <w:r>
              <w:rPr>
                <w:iCs/>
              </w:rPr>
              <w:t>Идентификационный код закупки</w:t>
            </w:r>
          </w:p>
        </w:tc>
        <w:tc>
          <w:tcPr>
            <w:tcW w:w="10941" w:type="dxa"/>
            <w:tcBorders>
              <w:top w:val="single" w:sz="4" w:space="0" w:color="000000"/>
              <w:left w:val="single" w:sz="4" w:space="0" w:color="000000"/>
              <w:bottom w:val="single" w:sz="4" w:space="0" w:color="000000"/>
              <w:right w:val="single" w:sz="4" w:space="0" w:color="000000"/>
            </w:tcBorders>
          </w:tcPr>
          <w:p>
            <w:pPr>
              <w:pStyle w:val="Normal"/>
              <w:jc w:val="both"/>
              <w:rPr/>
            </w:pPr>
            <w:r>
              <w:rPr/>
              <w:t>233091200056909120100100090017111244</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rPr>
              <w:t>Способ определения поставщика (подрядчика, исполнителя)</w:t>
            </w:r>
          </w:p>
        </w:tc>
        <w:tc>
          <w:tcPr>
            <w:tcW w:w="10941" w:type="dxa"/>
            <w:tcBorders>
              <w:top w:val="single" w:sz="4" w:space="0" w:color="000000"/>
              <w:left w:val="single" w:sz="4" w:space="0" w:color="000000"/>
              <w:bottom w:val="single" w:sz="4" w:space="0" w:color="000000"/>
              <w:right w:val="single" w:sz="4" w:space="0" w:color="000000"/>
            </w:tcBorders>
          </w:tcPr>
          <w:p>
            <w:pPr>
              <w:pStyle w:val="Normal"/>
              <w:shd w:val="clear" w:color="auto" w:fill="FFFFFF"/>
              <w:tabs>
                <w:tab w:val="clear" w:pos="708"/>
                <w:tab w:val="left" w:pos="0" w:leader="none"/>
              </w:tabs>
              <w:jc w:val="both"/>
              <w:rPr/>
            </w:pPr>
            <w:r>
              <w:rPr/>
              <w:t>Электронный конкурс</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lang w:val="en-US"/>
              </w:rPr>
            </w:pPr>
            <w:r>
              <w:rPr>
                <w:rFonts w:cs="Times New Roman" w:ascii="Times New Roman" w:hAnsi="Times New Roman"/>
                <w:b/>
                <w:bCs/>
                <w:lang w:val="en-U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bCs/>
              </w:rPr>
              <w:t>Адрес электронной площадки в сети Интернет</w:t>
            </w:r>
          </w:p>
        </w:tc>
        <w:tc>
          <w:tcPr>
            <w:tcW w:w="109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pPr>
            <w:r>
              <w:rPr/>
              <w:t>Агентство по государственному заказу Республики Татарстан - http://etp.zakazrf.ru</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bCs/>
              </w:rPr>
              <w:t>Наименование объекта закупки</w:t>
            </w:r>
          </w:p>
        </w:tc>
        <w:tc>
          <w:tcPr>
            <w:tcW w:w="109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8"/>
                <w:tab w:val="left" w:pos="0" w:leader="none"/>
              </w:tabs>
              <w:jc w:val="both"/>
              <w:rPr/>
            </w:pPr>
            <w:r>
              <w:rPr/>
              <w:t>Внесение в Единый государственный реестр недвижимости сведений о границах территориальных зон населенных пунктов сельских поселений Урупского муниципального района на 2023 год</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Место выполнения работы, оказания услуг</w:t>
            </w:r>
          </w:p>
        </w:tc>
        <w:tc>
          <w:tcPr>
            <w:tcW w:w="109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bCs/>
              </w:rPr>
            </w:pPr>
            <w:r>
              <w:rPr>
                <w:bCs/>
              </w:rPr>
              <w:t>Карачаево-Черкесская Республика, Урупский муниципальный район</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8"/>
                <w:tab w:val="center" w:pos="7689" w:leader="none"/>
              </w:tabs>
              <w:jc w:val="both"/>
              <w:rPr/>
            </w:pPr>
            <w:r>
              <w:rPr/>
              <w:t>Срок исполнения контракта (отдельных этапов исполнения контракта, если проектом контракта предусмотрены такие этапы)</w:t>
            </w:r>
          </w:p>
        </w:tc>
        <w:tc>
          <w:tcPr>
            <w:tcW w:w="109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8"/>
                <w:tab w:val="center" w:pos="7689" w:leader="none"/>
              </w:tabs>
              <w:jc w:val="both"/>
              <w:rPr/>
            </w:pPr>
            <w:r>
              <w:rPr/>
              <w:t>с даты заключения контракта до 2</w:t>
            </w:r>
            <w:r>
              <w:rPr/>
              <w:t>8</w:t>
            </w:r>
            <w:r>
              <w:rPr/>
              <w:t xml:space="preserve"> декабря 2023 года</w:t>
            </w:r>
          </w:p>
        </w:tc>
      </w:tr>
      <w:tr>
        <w:trPr/>
        <w:tc>
          <w:tcPr>
            <w:tcW w:w="726" w:type="dxa"/>
            <w:tcBorders>
              <w:top w:val="single" w:sz="4" w:space="0" w:color="000000"/>
              <w:left w:val="single" w:sz="4" w:space="0" w:color="000000"/>
              <w:bottom w:val="single" w:sz="4" w:space="0" w:color="000000"/>
              <w:right w:val="single" w:sz="4" w:space="0" w:color="000000"/>
            </w:tcBorders>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Normal"/>
              <w:jc w:val="both"/>
              <w:rPr/>
            </w:pPr>
            <w:r>
              <w:rPr/>
              <w:t>Начальная</w:t>
            </w:r>
          </w:p>
          <w:p>
            <w:pPr>
              <w:pStyle w:val="Normal"/>
              <w:jc w:val="both"/>
              <w:rPr/>
            </w:pPr>
            <w:r>
              <w:rPr/>
              <w:t>(максимальная) цена контракта</w:t>
            </w:r>
          </w:p>
        </w:tc>
        <w:tc>
          <w:tcPr>
            <w:tcW w:w="10941"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7689" w:leader="none"/>
              </w:tabs>
              <w:jc w:val="both"/>
              <w:rPr>
                <w:b/>
              </w:rPr>
            </w:pPr>
            <w:r>
              <w:rPr>
                <w:b/>
              </w:rPr>
              <w:t>5 000 000 (пять миллионов) рублей 00 копеек</w:t>
            </w:r>
          </w:p>
        </w:tc>
      </w:tr>
      <w:tr>
        <w:trPr/>
        <w:tc>
          <w:tcPr>
            <w:tcW w:w="726" w:type="dxa"/>
            <w:tcBorders>
              <w:top w:val="single" w:sz="4" w:space="0" w:color="000000"/>
              <w:left w:val="single" w:sz="4" w:space="0" w:color="000000"/>
              <w:bottom w:val="single" w:sz="4" w:space="0" w:color="000000"/>
              <w:right w:val="single" w:sz="4" w:space="0" w:color="000000"/>
            </w:tcBorders>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Normal"/>
              <w:jc w:val="both"/>
              <w:rPr/>
            </w:pPr>
            <w:r>
              <w:rPr/>
              <w:t>Размер аванса</w:t>
            </w:r>
          </w:p>
        </w:tc>
        <w:tc>
          <w:tcPr>
            <w:tcW w:w="10941"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7689" w:leader="none"/>
              </w:tabs>
              <w:jc w:val="both"/>
              <w:rPr/>
            </w:pPr>
            <w:r>
              <w:rPr/>
              <w:t>Не установлено</w:t>
            </w:r>
          </w:p>
        </w:tc>
      </w:tr>
      <w:tr>
        <w:trPr>
          <w:trHeight w:val="664" w:hRule="atLeast"/>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bCs/>
              </w:rPr>
              <w:t>Критерии оценки заявок на участие в конкурсах, величины значимости этих критериев в соответствии с Федеральным законом №44-ФЗ</w:t>
            </w:r>
          </w:p>
        </w:tc>
        <w:tc>
          <w:tcPr>
            <w:tcW w:w="10941" w:type="dxa"/>
            <w:tcBorders>
              <w:top w:val="single" w:sz="4" w:space="0" w:color="000000"/>
              <w:left w:val="single" w:sz="4" w:space="0" w:color="000000"/>
              <w:bottom w:val="single" w:sz="4" w:space="0" w:color="000000"/>
              <w:right w:val="single" w:sz="4" w:space="0" w:color="000000"/>
            </w:tcBorders>
          </w:tcPr>
          <w:p>
            <w:pPr>
              <w:pStyle w:val="BodyTextIndent"/>
              <w:tabs>
                <w:tab w:val="clear" w:pos="708"/>
                <w:tab w:val="left" w:pos="122" w:leader="none"/>
              </w:tabs>
              <w:spacing w:before="0" w:after="0"/>
              <w:ind w:left="0"/>
              <w:jc w:val="both"/>
              <w:rPr>
                <w:rFonts w:ascii="Times New Roman" w:hAnsi="Times New Roman" w:cs="Times New Roman"/>
                <w:bCs/>
              </w:rPr>
            </w:pPr>
            <w:r>
              <w:rPr>
                <w:rFonts w:cs="Times New Roman" w:ascii="Times New Roman" w:hAnsi="Times New Roman"/>
                <w:bCs/>
              </w:rPr>
              <w:t>Установлено в документе «Порядок рассмотрения и оценки заявок на участие в конкурсе», который является приложением к настоящему извещению</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7689" w:leader="none"/>
              </w:tabs>
              <w:jc w:val="both"/>
              <w:rPr>
                <w:highlight w:val="cyan"/>
              </w:rPr>
            </w:pPr>
            <w:r>
              <w:rPr>
                <w:rFonts w:eastAsia="Calibri" w:eastAsiaTheme="minorHAnsi"/>
                <w:bCs/>
                <w:lang w:eastAsia="en-US"/>
              </w:rPr>
              <w:t>Требования, предъявляемые к участникам закупки в соответствии со статьей 31 Федерального закона №44-ФЗ</w:t>
            </w:r>
          </w:p>
        </w:tc>
        <w:tc>
          <w:tcPr>
            <w:tcW w:w="10941" w:type="dxa"/>
            <w:tcBorders>
              <w:top w:val="single" w:sz="4" w:space="0" w:color="000000"/>
              <w:left w:val="single" w:sz="4" w:space="0" w:color="000000"/>
              <w:bottom w:val="single" w:sz="4" w:space="0" w:color="000000"/>
              <w:right w:val="single" w:sz="4" w:space="0" w:color="000000"/>
            </w:tcBorders>
          </w:tcPr>
          <w:p>
            <w:pPr>
              <w:pStyle w:val="Normal"/>
              <w:numPr>
                <w:ilvl w:val="0"/>
                <w:numId w:val="6"/>
              </w:numPr>
              <w:ind w:firstLine="708" w:left="-19"/>
              <w:jc w:val="both"/>
              <w:rPr/>
            </w:pPr>
            <w:r>
              <w:rPr/>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pPr>
              <w:pStyle w:val="Normal"/>
              <w:ind w:firstLine="708" w:left="-19"/>
              <w:jc w:val="both"/>
              <w:rPr/>
            </w:pPr>
            <w:r>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ind w:firstLine="708" w:left="-19"/>
              <w:jc w:val="both"/>
              <w:rPr/>
            </w:pPr>
            <w:r>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pPr>
              <w:pStyle w:val="Normal"/>
              <w:ind w:firstLine="708" w:left="-19"/>
              <w:jc w:val="both"/>
              <w:rPr/>
            </w:pPr>
            <w:r>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ind w:firstLine="708" w:left="-19"/>
              <w:jc w:val="both"/>
              <w:rPr/>
            </w:pPr>
            <w:r>
              <w:rPr/>
              <w:t>5)</w:t>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ind w:firstLine="708" w:left="-19"/>
              <w:jc w:val="both"/>
              <w:rPr/>
            </w:pPr>
            <w:r>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ind w:firstLine="708" w:left="-19"/>
              <w:jc w:val="both"/>
              <w:rPr/>
            </w:pPr>
            <w:r>
              <w:rPr/>
              <w:t>6)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Normal"/>
              <w:ind w:firstLine="708" w:left="-19"/>
              <w:jc w:val="both"/>
              <w:rPr/>
            </w:pPr>
            <w:r>
              <w:rPr/>
              <w:t>а) физическим лицом (в том числе зарегистрированным в качестве индивидуального предпринимателя), являющимся участником закупки;</w:t>
            </w:r>
          </w:p>
          <w:p>
            <w:pPr>
              <w:pStyle w:val="Normal"/>
              <w:ind w:firstLine="708" w:left="-19"/>
              <w:jc w:val="both"/>
              <w:rPr/>
            </w:pPr>
            <w:r>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Normal"/>
              <w:ind w:firstLine="708" w:left="-19"/>
              <w:jc w:val="both"/>
              <w:rPr/>
            </w:pPr>
            <w:r>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Normal"/>
              <w:ind w:firstLine="708" w:left="-19"/>
              <w:jc w:val="both"/>
              <w:rPr/>
            </w:pPr>
            <w:r>
              <w:rPr/>
              <w:t>7)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Normal"/>
              <w:ind w:firstLine="708" w:left="-19"/>
              <w:jc w:val="both"/>
              <w:rPr/>
            </w:pPr>
            <w:r>
              <w:rPr/>
              <w:t>7.1) участник закупки не является иностранным агентом;</w:t>
            </w:r>
          </w:p>
          <w:p>
            <w:pPr>
              <w:pStyle w:val="Normal"/>
              <w:ind w:firstLine="708" w:left="-19"/>
              <w:jc w:val="both"/>
              <w:rPr/>
            </w:pPr>
            <w:r>
              <w:rPr/>
              <w:t>8) отсутствие у участника закупки ограничений для участия в закупках, установленных законодательством Российской Федерации</w:t>
            </w:r>
          </w:p>
          <w:p>
            <w:pPr>
              <w:pStyle w:val="Normal"/>
              <w:ind w:firstLine="708" w:left="-19"/>
              <w:jc w:val="both"/>
              <w:rPr/>
            </w:pPr>
            <w:r>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пп. «а» п.2 Указа Президента Российской Федерации от 3 мая 2022 г. N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7689" w:leader="none"/>
              </w:tabs>
              <w:jc w:val="both"/>
              <w:rPr>
                <w:rFonts w:eastAsia="Calibri" w:eastAsiaTheme="minorHAnsi"/>
                <w:bCs/>
                <w:lang w:eastAsia="en-US"/>
              </w:rPr>
            </w:pPr>
            <w:r>
              <w:rPr>
                <w:rFonts w:eastAsia="Calibri" w:eastAsiaTheme="minorHAnsi"/>
                <w:bCs/>
                <w:lang w:eastAsia="en-US"/>
              </w:rPr>
              <w:t>Требования, предъявляемые к участникам закупки в соответствии с пунктом 1 части 1 статьи 31 Федерального закона №44-ФЗ</w:t>
            </w:r>
          </w:p>
        </w:tc>
        <w:tc>
          <w:tcPr>
            <w:tcW w:w="10941" w:type="dxa"/>
            <w:tcBorders>
              <w:top w:val="single" w:sz="4" w:space="0" w:color="000000"/>
              <w:left w:val="single" w:sz="4" w:space="0" w:color="000000"/>
              <w:bottom w:val="single" w:sz="4" w:space="0" w:color="000000"/>
              <w:right w:val="single" w:sz="4" w:space="0" w:color="000000"/>
            </w:tcBorders>
          </w:tcPr>
          <w:p>
            <w:pPr>
              <w:pStyle w:val="Normal"/>
              <w:jc w:val="both"/>
              <w:rPr/>
            </w:pPr>
            <w:r>
              <w:rPr/>
              <w:t>В соответствии с пунктом 4 статьи 1 Федерального закона от 24.07.2007 № 221-ФЗ «О кадастровой деятельности» согласно которой кадастровой деятельностью является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(кадастровый учет) сведения о таком недвижимом имуществе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статье 29 указанного Федерального закона - кадастровый инженер. Согласно части 1 статьи 29 Федерального закона от 24.07.2007 № 221-ФЗ «О кадастровой деятельности» Кадастровым инженером признается физическое лицо, являющееся членом саморегулируемой организации кадастровых инженеров. В соответствии со статьями 31-33 указанного Федерального закона осуществление кадастровым инженером кадастровой деятельности может осуществляться в качестве: - индивидуального предпринимателя, если он зарегистрирован в этом качестве в установленном законодательством Российской Федерации порядке. - работника юридического лица, в том числе публично-правовой компании, на основании трудового договора с таким юридическим лицом. -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 При этом юридическое лицо обязано иметь в штате не менее двух кадастровых инженеров, которые вправе осуществлять кадастровую деятельность. Подтверждающие документы: - для индивидуального предпринимателя является копия документа, подтверждающего членство в саморегулируемой организации кадастровых инженеров (выписка из реестра кадастровых инженеров). - для юридического лица, в том числе публично-правовой компании являются копия трудового договора, заключенного между юридическим лицом и работником юридического лица и копия документа (выписка из реестра кадастровых инженеров), подтверждающего членство в саморегулируемой организации кадастровых инженеров такого работника юридического лица (в отношении не менее двух работников такого юридического лица - кадастровых инженеров).</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bCs/>
              </w:rPr>
              <w:t>Требование, предъявляемое к участникам закупки в соответствии с частью 1.1 статьи 31 Федерального закона №44-ФЗ</w:t>
            </w:r>
          </w:p>
        </w:tc>
        <w:tc>
          <w:tcPr>
            <w:tcW w:w="10941" w:type="dxa"/>
            <w:tcBorders>
              <w:top w:val="single" w:sz="4" w:space="0" w:color="000000"/>
              <w:left w:val="single" w:sz="4" w:space="0" w:color="000000"/>
              <w:bottom w:val="single" w:sz="4" w:space="0" w:color="000000"/>
              <w:right w:val="single" w:sz="4" w:space="0" w:color="000000"/>
            </w:tcBorders>
          </w:tcPr>
          <w:p>
            <w:pPr>
              <w:pStyle w:val="Normal"/>
              <w:jc w:val="both"/>
              <w:rPr/>
            </w:pPr>
            <w:r>
              <w:rPr/>
              <w:t>Установлено</w:t>
            </w:r>
          </w:p>
          <w:p>
            <w:pPr>
              <w:pStyle w:val="Normal"/>
              <w:jc w:val="both"/>
              <w:rPr/>
            </w:pPr>
            <w:r>
              <w:rPr/>
              <w:t>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7689" w:leader="none"/>
              </w:tabs>
              <w:jc w:val="both"/>
              <w:rPr/>
            </w:pPr>
            <w:r>
              <w:rPr/>
              <w:t>Требования, предъявляемые к участникам закупки в соответствии с частью 2 статьи 31 Федерального закона №44-ФЗ, и исчерпывающий перечень документов, подтверждающих соответствие участника закупки таким требованиям</w:t>
            </w:r>
          </w:p>
        </w:tc>
        <w:tc>
          <w:tcPr>
            <w:tcW w:w="10941" w:type="dxa"/>
            <w:tcBorders>
              <w:top w:val="single" w:sz="4" w:space="0" w:color="000000"/>
              <w:left w:val="single" w:sz="4" w:space="0" w:color="000000"/>
              <w:bottom w:val="single" w:sz="4" w:space="0" w:color="000000"/>
              <w:right w:val="single" w:sz="4" w:space="0" w:color="000000"/>
            </w:tcBorders>
          </w:tcPr>
          <w:p>
            <w:pPr>
              <w:pStyle w:val="Normal"/>
              <w:jc w:val="both"/>
              <w:rPr/>
            </w:pPr>
            <w:r>
              <w:rPr/>
              <w:t>Не установлено</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7689" w:leader="none"/>
              </w:tabs>
              <w:jc w:val="both"/>
              <w:rPr/>
            </w:pPr>
            <w:r>
              <w:rPr/>
              <w:t>Требования, предъявляемые к участникам закупки в соответствии с частью 2.1 статьи 31 Федерального закона №44-ФЗ, и исчерпывающий перечень документов, подтверждающих соответствие участника закупки таким требованиям</w:t>
            </w:r>
          </w:p>
        </w:tc>
        <w:tc>
          <w:tcPr>
            <w:tcW w:w="109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pPr>
            <w:r>
              <w:rPr/>
              <w:t>Не установлено</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8"/>
                <w:tab w:val="center" w:pos="7689" w:leader="none"/>
              </w:tabs>
              <w:jc w:val="both"/>
              <w:rPr/>
            </w:pPr>
            <w:r>
              <w:rPr/>
              <w:t>Информация о предоставлении преимущества в соответствии со статьями 28 и 29 Федерального закона №44-ФЗ</w:t>
            </w:r>
          </w:p>
        </w:tc>
        <w:tc>
          <w:tcPr>
            <w:tcW w:w="109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t>Не установлено</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8"/>
                <w:tab w:val="center" w:pos="7689" w:leader="none"/>
              </w:tabs>
              <w:jc w:val="both"/>
              <w:rPr/>
            </w:pPr>
            <w:r>
              <w:rPr/>
              <w:t>Информация о преимуществах участия в определении поставщика (подрядчика, исполнителя) в соответствии с частью 3 статьи 30 Федерального закона №44-ФЗ</w:t>
            </w:r>
          </w:p>
        </w:tc>
        <w:tc>
          <w:tcPr>
            <w:tcW w:w="109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8"/>
                <w:tab w:val="center" w:pos="7689" w:leader="none"/>
              </w:tabs>
              <w:jc w:val="both"/>
              <w:rPr/>
            </w:pPr>
            <w:r>
              <w:rPr/>
              <w:t>Установлено. Закупка у субъектов малого предпринимательства и социально ориентированных некоммерческих организаций</w:t>
            </w:r>
          </w:p>
        </w:tc>
      </w:tr>
      <w:tr>
        <w:trPr/>
        <w:tc>
          <w:tcPr>
            <w:tcW w:w="726" w:type="dxa"/>
            <w:tcBorders>
              <w:top w:val="single" w:sz="4" w:space="0" w:color="000000"/>
              <w:left w:val="single" w:sz="4" w:space="0" w:color="000000"/>
              <w:bottom w:val="single" w:sz="4" w:space="0" w:color="000000"/>
              <w:right w:val="single" w:sz="4" w:space="0" w:color="000000"/>
            </w:tcBorders>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bCs/>
              </w:rPr>
              <w:t>Требование, установленное в соответствии с частью 5 статьи 30 Федерального закона №44-ФЗ, с указанием в соответствии с частью 6 статьи 30 Федерального закона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0941" w:type="dxa"/>
            <w:tcBorders>
              <w:top w:val="single" w:sz="4" w:space="0" w:color="000000"/>
              <w:left w:val="single" w:sz="4" w:space="0" w:color="000000"/>
              <w:bottom w:val="single" w:sz="4" w:space="0" w:color="000000"/>
              <w:right w:val="single" w:sz="4" w:space="0" w:color="000000"/>
            </w:tcBorders>
          </w:tcPr>
          <w:p>
            <w:pPr>
              <w:pStyle w:val="Normal"/>
              <w:jc w:val="both"/>
              <w:rPr/>
            </w:pPr>
            <w:r>
              <w:rPr/>
              <w:t>Не установлено</w:t>
            </w:r>
          </w:p>
        </w:tc>
      </w:tr>
      <w:tr>
        <w:trPr/>
        <w:tc>
          <w:tcPr>
            <w:tcW w:w="726" w:type="dxa"/>
            <w:tcBorders>
              <w:top w:val="single" w:sz="4" w:space="0" w:color="000000"/>
              <w:left w:val="single" w:sz="4" w:space="0" w:color="000000"/>
              <w:bottom w:val="single" w:sz="4" w:space="0" w:color="000000"/>
              <w:right w:val="single" w:sz="4" w:space="0" w:color="000000"/>
            </w:tcBorders>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b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№44-ФЗ</w:t>
            </w:r>
          </w:p>
        </w:tc>
        <w:tc>
          <w:tcPr>
            <w:tcW w:w="10941" w:type="dxa"/>
            <w:tcBorders>
              <w:top w:val="single" w:sz="4" w:space="0" w:color="000000"/>
              <w:left w:val="single" w:sz="4" w:space="0" w:color="000000"/>
              <w:bottom w:val="single" w:sz="4" w:space="0" w:color="000000"/>
              <w:right w:val="single" w:sz="4" w:space="0" w:color="000000"/>
            </w:tcBorders>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bCs/>
              </w:rPr>
              <w:t>Не установлены</w:t>
            </w:r>
          </w:p>
        </w:tc>
      </w:tr>
      <w:tr>
        <w:trPr/>
        <w:tc>
          <w:tcPr>
            <w:tcW w:w="726" w:type="dxa"/>
            <w:tcBorders>
              <w:top w:val="single" w:sz="4" w:space="0" w:color="000000"/>
              <w:left w:val="single" w:sz="4" w:space="0" w:color="000000"/>
              <w:bottom w:val="single" w:sz="4" w:space="0" w:color="000000"/>
              <w:right w:val="single" w:sz="4" w:space="0" w:color="000000"/>
            </w:tcBorders>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bCs/>
              </w:rPr>
              <w:t>Размер и 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Федерального закона №44-ФЗ</w:t>
            </w:r>
          </w:p>
        </w:tc>
        <w:tc>
          <w:tcPr>
            <w:tcW w:w="10941" w:type="dxa"/>
            <w:tcBorders>
              <w:top w:val="single" w:sz="4" w:space="0" w:color="000000"/>
              <w:left w:val="single" w:sz="4" w:space="0" w:color="000000"/>
              <w:bottom w:val="single" w:sz="4" w:space="0" w:color="000000"/>
              <w:right w:val="single" w:sz="4" w:space="0" w:color="000000"/>
            </w:tcBorders>
          </w:tcPr>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
              </w:rPr>
              <w:t>Размер обеспечения заявки на участие в электронном конкурсе:</w:t>
            </w:r>
            <w:r>
              <w:rPr>
                <w:rFonts w:cs="Times New Roman" w:ascii="Times New Roman" w:hAnsi="Times New Roman"/>
                <w:bCs/>
              </w:rPr>
              <w:t xml:space="preserve"> 1% от начальной (максимальной) цены контракта.</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
              </w:rPr>
              <w:t>Порядок внесения денежных средств в качестве обеспечения заявки на участие в закупке:</w:t>
            </w:r>
            <w:r>
              <w:rPr>
                <w:rFonts w:cs="Times New Roman" w:ascii="Times New Roman" w:hAnsi="Times New Roman"/>
                <w:bCs/>
              </w:rPr>
              <w:t xml:space="preserve"> согласно статье 44 Федерального закона №44-ФЗ.</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Предприятия уголовно-исполнительной системы, организации инвалидов, предусмотренные частью 2 статьи 29 Федерального закона №44-ФЗ, предоставляют обеспечение заявки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При проведении электронных процедур:</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1) обеспечение заявки на участие в закупке предоставляется одним из следующих способов:</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б) путем предоставления независимой гарантии, соответствующей требованиям статьи 45 Федерального закона №44-ФЗ;</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3) в случае предоставления обеспечения заявки на участие в закупке в виде денежных средств:</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№44-ФЗ возврат заявки подавшему ее участнику закупки;</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№44-ФЗ.</w:t>
            </w:r>
          </w:p>
          <w:p>
            <w:pPr>
              <w:pStyle w:val="BodyTextIndent"/>
              <w:tabs>
                <w:tab w:val="clear" w:pos="708"/>
                <w:tab w:val="left" w:pos="0" w:leader="none"/>
                <w:tab w:val="left" w:pos="206" w:leader="none"/>
              </w:tabs>
              <w:spacing w:before="0" w:after="0"/>
              <w:ind w:left="0"/>
              <w:jc w:val="both"/>
              <w:rPr>
                <w:rFonts w:ascii="Times New Roman" w:hAnsi="Times New Roman" w:cs="Times New Roman"/>
                <w:b/>
              </w:rPr>
            </w:pPr>
            <w:r>
              <w:rPr>
                <w:rFonts w:cs="Times New Roman" w:ascii="Times New Roman" w:hAnsi="Times New Roman"/>
                <w:b/>
              </w:rPr>
              <w:t>Условия независимой гарантии:</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Заказчики в качестве обеспечения заявок принимают независимые гарантии, выданные:</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2) государственной корпорацией развития "ВЭБ.РФ";</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Независимая гарантия должна быть безотзывной и должна содержать:</w:t>
            </w:r>
          </w:p>
          <w:p>
            <w:pPr>
              <w:pStyle w:val="BodyTextIndent"/>
              <w:numPr>
                <w:ilvl w:val="0"/>
                <w:numId w:val="3"/>
              </w:numPr>
              <w:tabs>
                <w:tab w:val="clear" w:pos="708"/>
                <w:tab w:val="left" w:pos="0" w:leader="none"/>
                <w:tab w:val="left" w:pos="206" w:leader="none"/>
              </w:tabs>
              <w:spacing w:before="0" w:after="0"/>
              <w:ind w:hanging="0" w:left="0"/>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сумму независимой гарантии, подлежащую уплате гарантом заказчику в установленных статьей 44 Федерального закона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а также идентификационный код закупки, при осуществлении которой предоставляется такая независимая гарантия;</w:t>
            </w:r>
          </w:p>
          <w:p>
            <w:pPr>
              <w:pStyle w:val="BodyTextIndent"/>
              <w:numPr>
                <w:ilvl w:val="0"/>
                <w:numId w:val="3"/>
              </w:numPr>
              <w:tabs>
                <w:tab w:val="clear" w:pos="708"/>
                <w:tab w:val="left" w:pos="0" w:leader="none"/>
                <w:tab w:val="left" w:pos="206" w:leader="none"/>
              </w:tabs>
              <w:spacing w:before="0" w:after="0"/>
              <w:ind w:hanging="0" w:left="0"/>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обязательства принципала, надлежащее исполнение которых обеспечивается независимой гарантией;</w:t>
            </w:r>
          </w:p>
          <w:p>
            <w:pPr>
              <w:pStyle w:val="BodyTextIndent"/>
              <w:numPr>
                <w:ilvl w:val="0"/>
                <w:numId w:val="3"/>
              </w:numPr>
              <w:tabs>
                <w:tab w:val="clear" w:pos="708"/>
                <w:tab w:val="left" w:pos="0" w:leader="none"/>
                <w:tab w:val="left" w:pos="206" w:leader="none"/>
              </w:tabs>
              <w:spacing w:before="0" w:after="0"/>
              <w:ind w:hanging="0" w:left="0"/>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BodyTextIndent"/>
              <w:numPr>
                <w:ilvl w:val="0"/>
                <w:numId w:val="3"/>
              </w:numPr>
              <w:tabs>
                <w:tab w:val="clear" w:pos="708"/>
                <w:tab w:val="left" w:pos="0" w:leader="none"/>
                <w:tab w:val="left" w:pos="206" w:leader="none"/>
              </w:tabs>
              <w:spacing w:before="0" w:after="0"/>
              <w:ind w:hanging="0" w:left="0"/>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BodyTextIndent"/>
              <w:numPr>
                <w:ilvl w:val="0"/>
                <w:numId w:val="3"/>
              </w:numPr>
              <w:tabs>
                <w:tab w:val="clear" w:pos="708"/>
                <w:tab w:val="left" w:pos="0" w:leader="none"/>
                <w:tab w:val="left" w:pos="206" w:leader="none"/>
              </w:tabs>
              <w:spacing w:before="0" w:after="0"/>
              <w:ind w:hanging="0" w:left="0"/>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срок действия независимой гарантии с учетом требований статьи 44 Федерального закона №44-ФЗ;</w:t>
            </w:r>
          </w:p>
          <w:p>
            <w:pPr>
              <w:pStyle w:val="BodyTextIndent"/>
              <w:numPr>
                <w:ilvl w:val="0"/>
                <w:numId w:val="3"/>
              </w:numPr>
              <w:tabs>
                <w:tab w:val="clear" w:pos="708"/>
                <w:tab w:val="left" w:pos="0" w:leader="none"/>
                <w:tab w:val="left" w:pos="206" w:leader="none"/>
              </w:tabs>
              <w:spacing w:before="0" w:after="0"/>
              <w:ind w:hanging="0" w:left="0"/>
              <w:jc w:val="both"/>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 Независимая гарантия должна содержать условие о рассмотрении споров, вытекающих из независимой гарантии, Арбитражным судом по месту нахождения бенефициара.</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Независимая гарантия должна соответствовать требованиям Постановления Правительства РФ от 08.11.2013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Основанием для отказа в принятии независимой гарантии заказчиком является:</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1) отсутствие информации о независимой гарантии в предусмотренных статьей 45 Федерального закона №44-ФЗ реестрах независимых гарантий;</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2) несоответствие независимой гарантии требованиям, предусмотренным частями 2, 3 и 8.2 статьи 45 Федерального закона №44-ФЗ;</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3) несоответствие независимой гарантии требованиям, содержащимся в извещении об осуществлении закупки.</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Если при проведении предусмотренных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электронных процедур предусмотрено предоставление обеспечения заявки на участие в закупке товаров, работ, услуг для обеспечения государственных или муниципальных нужд (далее - закупка), 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вправе предоставить обеспечение заявок в виде денежных средств с учетом следующих особенностей:</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а) денежные средства вносятся участниками закупки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в) участник закупки признается непредоставившим обеспечение заявки на участие в закупке в случае непоступления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предусмотренный подпунктом "а" настоящего пункта. При этом заявка на участие в закупке, поданная таким участником закупки, отклоняется в порядке, установленном для случая, предусмотренного пунктом 7 части 12 статьи 48 Федерального закона;</w:t>
            </w:r>
          </w:p>
          <w:p>
            <w:pPr>
              <w:pStyle w:val="BodyTextIndent"/>
              <w:tabs>
                <w:tab w:val="clear" w:pos="708"/>
                <w:tab w:val="left" w:pos="0" w:leader="none"/>
                <w:tab w:val="left" w:pos="206" w:leader="none"/>
              </w:tabs>
              <w:spacing w:before="0" w:after="0"/>
              <w:ind w:left="0"/>
              <w:jc w:val="both"/>
              <w:rPr>
                <w:rFonts w:ascii="Times New Roman" w:hAnsi="Times New Roman" w:cs="Times New Roman"/>
                <w:bCs/>
              </w:rPr>
            </w:pPr>
            <w:r>
              <w:rPr>
                <w:rFonts w:cs="Times New Roman" w:ascii="Times New Roman" w:hAnsi="Times New Roman"/>
                <w:bCs/>
              </w:rPr>
              <w:t>г) заказчик возвращает денежные средства, внесенные в качестве обеспечения заявки на участие в закупке, не позднее 5 рабочих дней со дня, следующего за днем наступления случаев, предусмотренных пунктами 1 - 6 части 10 статьи 44 Федерального закона. Возврат таких денежных средств участнику закупки не осуществляется в случае, предусмотренном пунктом 7 части 10 статьи 44 Федерального закона.</w:t>
            </w:r>
          </w:p>
          <w:p>
            <w:pPr>
              <w:pStyle w:val="BodyTextIndent"/>
              <w:tabs>
                <w:tab w:val="clear" w:pos="708"/>
                <w:tab w:val="left" w:pos="0" w:leader="none"/>
                <w:tab w:val="left" w:pos="206" w:leader="none"/>
              </w:tabs>
              <w:spacing w:before="0" w:after="0"/>
              <w:ind w:left="0"/>
              <w:jc w:val="both"/>
              <w:rPr>
                <w:rFonts w:ascii="Times New Roman" w:hAnsi="Times New Roman" w:cs="Times New Roman"/>
                <w:b/>
              </w:rPr>
            </w:pPr>
            <w:r>
              <w:rPr>
                <w:rFonts w:cs="Times New Roman" w:ascii="Times New Roman" w:hAnsi="Times New Roman"/>
                <w:b/>
              </w:rPr>
              <w:t>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Федерального закона №44-ФЗ:</w:t>
            </w:r>
          </w:p>
          <w:p>
            <w:pPr>
              <w:pStyle w:val="Normal"/>
              <w:tabs>
                <w:tab w:val="clear" w:pos="708"/>
                <w:tab w:val="left" w:pos="0" w:leader="none"/>
              </w:tabs>
              <w:jc w:val="both"/>
              <w:rPr>
                <w:bCs/>
              </w:rPr>
            </w:pPr>
            <w:r>
              <w:rPr>
                <w:bCs/>
              </w:rPr>
              <w:t>Л/сч 05793002890 в УФК по КЧР 7912</w:t>
            </w:r>
          </w:p>
          <w:p>
            <w:pPr>
              <w:pStyle w:val="Normal"/>
              <w:tabs>
                <w:tab w:val="clear" w:pos="708"/>
                <w:tab w:val="left" w:pos="0" w:leader="none"/>
              </w:tabs>
              <w:jc w:val="both"/>
              <w:rPr>
                <w:bCs/>
              </w:rPr>
            </w:pPr>
            <w:r>
              <w:rPr>
                <w:bCs/>
              </w:rPr>
              <w:t>Е. к.р.с. 03232643916300007900</w:t>
            </w:r>
          </w:p>
          <w:p>
            <w:pPr>
              <w:pStyle w:val="Normal"/>
              <w:tabs>
                <w:tab w:val="clear" w:pos="708"/>
                <w:tab w:val="left" w:pos="0" w:leader="none"/>
              </w:tabs>
              <w:jc w:val="both"/>
              <w:rPr>
                <w:bCs/>
              </w:rPr>
            </w:pPr>
            <w:r>
              <w:rPr>
                <w:bCs/>
              </w:rPr>
              <w:t>БИК ТОФК 019133001</w:t>
            </w:r>
          </w:p>
          <w:p>
            <w:pPr>
              <w:pStyle w:val="Normal"/>
              <w:tabs>
                <w:tab w:val="clear" w:pos="708"/>
                <w:tab w:val="left" w:pos="0" w:leader="none"/>
              </w:tabs>
              <w:jc w:val="both"/>
              <w:rPr>
                <w:bCs/>
              </w:rPr>
            </w:pPr>
            <w:r>
              <w:rPr>
                <w:bCs/>
              </w:rPr>
              <w:t>к\с 40102810245370000078</w:t>
            </w:r>
          </w:p>
          <w:p>
            <w:pPr>
              <w:pStyle w:val="Normal"/>
              <w:tabs>
                <w:tab w:val="clear" w:pos="708"/>
                <w:tab w:val="left" w:pos="0" w:leader="none"/>
              </w:tabs>
              <w:jc w:val="both"/>
              <w:rPr>
                <w:bCs/>
              </w:rPr>
            </w:pPr>
            <w:r>
              <w:rPr>
                <w:bCs/>
              </w:rPr>
              <w:t>Отделение - НБ Карачаево-Черкесская Республика //УФК по Карачаево- Черкесской Республике г. Черкесск</w:t>
            </w:r>
          </w:p>
        </w:tc>
      </w:tr>
      <w:tr>
        <w:trPr/>
        <w:tc>
          <w:tcPr>
            <w:tcW w:w="726"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shd w:color="auto" w:fill="FFFFFF" w:val="clear"/>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bCs/>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0941" w:type="dxa"/>
            <w:tcBorders>
              <w:top w:val="single" w:sz="4" w:space="0" w:color="000000"/>
              <w:left w:val="single" w:sz="4" w:space="0" w:color="000000"/>
              <w:bottom w:val="single" w:sz="4" w:space="0" w:color="000000"/>
              <w:right w:val="single" w:sz="4" w:space="0" w:color="000000"/>
            </w:tcBorders>
          </w:tcPr>
          <w:p>
            <w:pPr>
              <w:pStyle w:val="Normal"/>
              <w:jc w:val="both"/>
              <w:rPr/>
            </w:pPr>
            <w:r>
              <w:rPr>
                <w:b/>
                <w:bCs/>
              </w:rPr>
              <w:t>Размер обеспечения исполнения контракта:</w:t>
            </w:r>
            <w:r>
              <w:rPr/>
              <w:t xml:space="preserve"> 10% от цены контракта.</w:t>
            </w:r>
          </w:p>
          <w:p>
            <w:pPr>
              <w:pStyle w:val="Normal"/>
              <w:jc w:val="both"/>
              <w:rPr>
                <w:b/>
              </w:rPr>
            </w:pPr>
            <w:r>
              <w:rPr>
                <w:b/>
              </w:rPr>
              <w:t>Порядок предоставления обеспечения исполнения контракта, требования к такому обеспечению:</w:t>
            </w:r>
          </w:p>
          <w:p>
            <w:pPr>
              <w:pStyle w:val="Normal"/>
              <w:jc w:val="both"/>
              <w:rPr/>
            </w:pPr>
            <w:r>
              <w:rPr/>
              <w:t>Исполнение контракта может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pPr>
              <w:pStyle w:val="Normal"/>
              <w:jc w:val="both"/>
              <w:rPr/>
            </w:pPr>
            <w:r>
              <w:rPr/>
              <w:t>Обеспечение исполнения контракта, включая положения о предоставлении такого обеспечения с учетом положений статьи 37 Федерального закона №44-ФЗ, не применяются в случае заключения контракта с участником закупки, который является казенным учреждением.</w:t>
            </w:r>
          </w:p>
          <w:p>
            <w:pPr>
              <w:pStyle w:val="Normal"/>
              <w:jc w:val="both"/>
              <w:rPr>
                <w:b/>
                <w:bCs/>
              </w:rPr>
            </w:pPr>
            <w:r>
              <w:rPr>
                <w:b/>
                <w:bCs/>
              </w:rPr>
              <w:t>Условия независимой гарантии:</w:t>
            </w:r>
          </w:p>
          <w:p>
            <w:pPr>
              <w:pStyle w:val="Normal"/>
              <w:jc w:val="both"/>
              <w:rPr/>
            </w:pPr>
            <w:r>
              <w:rPr/>
              <w:t>Заказчики в качестве обеспечения исполнения контракта принимают независимые гарантии, выданные:</w:t>
            </w:r>
          </w:p>
          <w:p>
            <w:pPr>
              <w:pStyle w:val="Normal"/>
              <w:jc w:val="both"/>
              <w:rPr/>
            </w:pPr>
            <w:r>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pPr>
              <w:pStyle w:val="Normal"/>
              <w:jc w:val="both"/>
              <w:rPr/>
            </w:pPr>
            <w:r>
              <w:rPr/>
              <w:t>2) государственной корпорацией развития "ВЭБ.РФ";</w:t>
            </w:r>
          </w:p>
          <w:p>
            <w:pPr>
              <w:pStyle w:val="Normal"/>
              <w:jc w:val="both"/>
              <w:rPr/>
            </w:pPr>
            <w:r>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pPr>
              <w:pStyle w:val="Normal"/>
              <w:jc w:val="both"/>
              <w:rPr/>
            </w:pPr>
            <w:r>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Normal"/>
              <w:jc w:val="both"/>
              <w:rPr/>
            </w:pPr>
            <w:r>
              <w:rPr/>
              <w:t>Независимая гарантия должна быть безотзывной и должна содержать:</w:t>
            </w:r>
          </w:p>
          <w:p>
            <w:pPr>
              <w:pStyle w:val="Normal"/>
              <w:jc w:val="both"/>
              <w:rPr/>
            </w:pPr>
            <w:r>
              <w:rPr/>
              <w:t>1)</w:t>
              <w:tab/>
              <w:t>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pPr>
              <w:pStyle w:val="Normal"/>
              <w:jc w:val="both"/>
              <w:rPr/>
            </w:pPr>
            <w:r>
              <w:rPr/>
              <w:t>2)</w:t>
              <w:tab/>
              <w:t>обязательства принципала, надлежащее исполнение которых обеспечивается независимой гарантией;</w:t>
            </w:r>
          </w:p>
          <w:p>
            <w:pPr>
              <w:pStyle w:val="Normal"/>
              <w:jc w:val="both"/>
              <w:rPr/>
            </w:pPr>
            <w:r>
              <w:rPr/>
              <w:t>3)</w:t>
              <w:tab/>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Normal"/>
              <w:jc w:val="both"/>
              <w:rPr/>
            </w:pPr>
            <w:r>
              <w:rPr/>
              <w:t>4)</w:t>
              <w:tab/>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jc w:val="both"/>
              <w:rPr/>
            </w:pPr>
            <w:r>
              <w:rPr/>
              <w:t>5)</w:t>
              <w:tab/>
              <w:t>срок действия независимой гарантии с учетом требований статьи 96 Федерального закона №44-ФЗ;</w:t>
            </w:r>
          </w:p>
          <w:p>
            <w:pPr>
              <w:pStyle w:val="Normal"/>
              <w:jc w:val="both"/>
              <w:rPr/>
            </w:pPr>
            <w:r>
              <w:rPr/>
              <w:t>6)</w:t>
              <w:tab/>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Normal"/>
              <w:jc w:val="both"/>
              <w:rPr/>
            </w:pPr>
            <w:r>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Normal"/>
              <w:jc w:val="both"/>
              <w:rPr/>
            </w:pPr>
            <w:r>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pPr>
              <w:pStyle w:val="Normal"/>
              <w:jc w:val="both"/>
              <w:rPr/>
            </w:pPr>
            <w:r>
              <w:rPr/>
              <w:t>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 Независимая гарантия должна содержать условие о рассмотрении споров, вытекающих из независимой гарантии, Арбитражным судом по месту нахождения бенефициара.</w:t>
            </w:r>
          </w:p>
          <w:p>
            <w:pPr>
              <w:pStyle w:val="Normal"/>
              <w:jc w:val="both"/>
              <w:rPr/>
            </w:pPr>
            <w:r>
              <w:rPr/>
              <w:t>Независимая гарантия должна соответствовать требованиям Постановления Правительства РФ от 08.11.2013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jc w:val="both"/>
              <w:rPr/>
            </w:pPr>
            <w:r>
              <w:rPr/>
              <w:t>Основанием для отказа в принятии независимой гарантии заказчиком является:</w:t>
            </w:r>
          </w:p>
          <w:p>
            <w:pPr>
              <w:pStyle w:val="Normal"/>
              <w:jc w:val="both"/>
              <w:rPr/>
            </w:pPr>
            <w:r>
              <w:rPr/>
              <w:t>1) отсутствие информации о независимой гарантии в предусмотренных статьей 45 Федерального закона №44-ФЗ реестрах независимых гарантий;</w:t>
            </w:r>
          </w:p>
          <w:p>
            <w:pPr>
              <w:pStyle w:val="Normal"/>
              <w:jc w:val="both"/>
              <w:rPr/>
            </w:pPr>
            <w:r>
              <w:rPr/>
              <w:t>2) несоответствие независимой гарантии требованиям, предусмотренным частями 2, 3 и 8.2 статьи 45 Федерального закона №44-ФЗ;</w:t>
            </w:r>
          </w:p>
          <w:p>
            <w:pPr>
              <w:pStyle w:val="Normal"/>
              <w:jc w:val="both"/>
              <w:rPr/>
            </w:pPr>
            <w:r>
              <w:rPr/>
              <w:t>3) несоответствие независимой гарантии требованиям, содержащимся в извещении об осуществлении закупки.</w:t>
            </w:r>
          </w:p>
          <w:p>
            <w:pPr>
              <w:pStyle w:val="Normal"/>
              <w:jc w:val="both"/>
              <w:rPr/>
            </w:pPr>
            <w:r>
              <w:rPr/>
              <w:t>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w:t>
            </w:r>
          </w:p>
          <w:p>
            <w:pPr>
              <w:pStyle w:val="Normal"/>
              <w:jc w:val="both"/>
              <w:rPr/>
            </w:pPr>
            <w:r>
              <w:rPr/>
              <w:t>В случае принятия участником закупки, с которым заключается контракт решения об обеспечении исполнения контракта, гарантийных обязательств в виде внесения денежных средств на счет заказчика, размер обеспечения должен быть перечислен на счет по следующим реквизитам:</w:t>
            </w:r>
          </w:p>
          <w:p>
            <w:pPr>
              <w:pStyle w:val="Normal"/>
              <w:jc w:val="both"/>
              <w:rPr>
                <w:bCs/>
              </w:rPr>
            </w:pPr>
            <w:r>
              <w:rPr>
                <w:bCs/>
              </w:rPr>
              <w:t>Л/сч 05793002890 в УФК по КЧР 7912</w:t>
            </w:r>
          </w:p>
          <w:p>
            <w:pPr>
              <w:pStyle w:val="Normal"/>
              <w:jc w:val="both"/>
              <w:rPr>
                <w:bCs/>
              </w:rPr>
            </w:pPr>
            <w:r>
              <w:rPr>
                <w:bCs/>
              </w:rPr>
              <w:t>Е. к.р.с. 03232643916300007900</w:t>
            </w:r>
          </w:p>
          <w:p>
            <w:pPr>
              <w:pStyle w:val="Normal"/>
              <w:jc w:val="both"/>
              <w:rPr>
                <w:bCs/>
              </w:rPr>
            </w:pPr>
            <w:r>
              <w:rPr>
                <w:bCs/>
              </w:rPr>
              <w:t>БИК ТОФК 019133001</w:t>
            </w:r>
          </w:p>
          <w:p>
            <w:pPr>
              <w:pStyle w:val="Normal"/>
              <w:jc w:val="both"/>
              <w:rPr>
                <w:bCs/>
              </w:rPr>
            </w:pPr>
            <w:r>
              <w:rPr>
                <w:bCs/>
              </w:rPr>
              <w:t>к\с 40102810245370000078</w:t>
            </w:r>
          </w:p>
          <w:p>
            <w:pPr>
              <w:pStyle w:val="Normal"/>
              <w:jc w:val="both"/>
              <w:rPr/>
            </w:pPr>
            <w:r>
              <w:rPr>
                <w:bCs/>
              </w:rPr>
              <w:t>Отделение - НБ Карачаево-Черкесская Республика //УФК по Карачаево- Черкесской Республике г. Черкесск</w:t>
            </w:r>
          </w:p>
        </w:tc>
      </w:tr>
      <w:tr>
        <w:trPr/>
        <w:tc>
          <w:tcPr>
            <w:tcW w:w="726" w:type="dxa"/>
            <w:tcBorders>
              <w:top w:val="single" w:sz="4" w:space="0" w:color="000000"/>
              <w:left w:val="single" w:sz="4" w:space="0" w:color="000000"/>
              <w:bottom w:val="single" w:sz="4" w:space="0" w:color="000000"/>
              <w:right w:val="single" w:sz="4" w:space="0" w:color="000000"/>
            </w:tcBorders>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Normal"/>
              <w:jc w:val="both"/>
              <w:rPr/>
            </w:pPr>
            <w:r>
              <w:rPr/>
              <w:t>Информация о банковском сопровождении контракта в соответствии со статьей 35 Федерального закона №44-ФЗ;</w:t>
            </w:r>
          </w:p>
        </w:tc>
        <w:tc>
          <w:tcPr>
            <w:tcW w:w="109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rPr/>
            </w:pPr>
            <w:r>
              <w:rPr/>
              <w:t>Не установлено</w:t>
            </w:r>
          </w:p>
        </w:tc>
      </w:tr>
      <w:tr>
        <w:trPr/>
        <w:tc>
          <w:tcPr>
            <w:tcW w:w="726" w:type="dxa"/>
            <w:tcBorders>
              <w:top w:val="single" w:sz="4" w:space="0" w:color="000000"/>
              <w:left w:val="single" w:sz="4" w:space="0" w:color="000000"/>
              <w:bottom w:val="single" w:sz="4" w:space="0" w:color="000000"/>
              <w:right w:val="single" w:sz="4" w:space="0" w:color="000000"/>
            </w:tcBorders>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Информация о возможности заказчика заключить контракты, указанные в части 10 статьи 34 Федерального закона №44-ФЗ, с несколькими участниками закупки с указанием количества указанных контрактов;</w:t>
            </w:r>
          </w:p>
        </w:tc>
        <w:tc>
          <w:tcPr>
            <w:tcW w:w="109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rPr/>
            </w:pPr>
            <w:r>
              <w:rPr/>
              <w:t>Не установлено</w:t>
            </w:r>
          </w:p>
        </w:tc>
      </w:tr>
      <w:tr>
        <w:trPr/>
        <w:tc>
          <w:tcPr>
            <w:tcW w:w="726" w:type="dxa"/>
            <w:tcBorders>
              <w:top w:val="single" w:sz="4" w:space="0" w:color="000000"/>
              <w:left w:val="single" w:sz="4" w:space="0" w:color="000000"/>
              <w:bottom w:val="single" w:sz="4" w:space="0" w:color="000000"/>
              <w:right w:val="single" w:sz="4" w:space="0" w:color="000000"/>
            </w:tcBorders>
          </w:tcPr>
          <w:p>
            <w:pPr>
              <w:pStyle w:val="BodyTextIndent"/>
              <w:numPr>
                <w:ilvl w:val="0"/>
                <w:numId w:val="1"/>
              </w:numPr>
              <w:tabs>
                <w:tab w:val="clear" w:pos="708"/>
                <w:tab w:val="left" w:pos="-391" w:leader="none"/>
                <w:tab w:val="left" w:pos="34" w:leader="none"/>
              </w:tabs>
              <w:spacing w:before="0" w:after="0"/>
              <w:ind w:hanging="0" w:left="0"/>
              <w:jc w:val="center"/>
              <w:rPr>
                <w:rFonts w:ascii="Times New Roman" w:hAnsi="Times New Roman" w:cs="Times New Roman"/>
                <w:b/>
                <w:bCs/>
              </w:rPr>
            </w:pPr>
            <w:r>
              <w:rPr>
                <w:rFonts w:cs="Times New Roman" w:ascii="Times New Roman" w:hAnsi="Times New Roman"/>
                <w:b/>
                <w:bCs/>
              </w:rPr>
            </w:r>
          </w:p>
        </w:tc>
        <w:tc>
          <w:tcPr>
            <w:tcW w:w="3495" w:type="dxa"/>
            <w:tcBorders>
              <w:top w:val="single" w:sz="4" w:space="0" w:color="000000"/>
              <w:left w:val="single" w:sz="4" w:space="0" w:color="000000"/>
              <w:bottom w:val="single" w:sz="4" w:space="0" w:color="000000"/>
              <w:right w:val="single" w:sz="4" w:space="0" w:color="000000"/>
            </w:tcBorders>
          </w:tcPr>
          <w:p>
            <w:pPr>
              <w:pStyle w:val="BodyTextIndent"/>
              <w:tabs>
                <w:tab w:val="clear" w:pos="708"/>
                <w:tab w:val="left" w:pos="0" w:leader="none"/>
              </w:tabs>
              <w:spacing w:before="0" w:after="0"/>
              <w:ind w:left="0"/>
              <w:jc w:val="both"/>
              <w:rPr>
                <w:rFonts w:ascii="Times New Roman" w:hAnsi="Times New Roman" w:cs="Times New Roman"/>
                <w:bCs/>
              </w:rPr>
            </w:pPr>
            <w:r>
              <w:rPr>
                <w:rFonts w:cs="Times New Roman" w:ascii="Times New Roman" w:hAnsi="Times New Roman"/>
                <w:bCs/>
              </w:rPr>
              <w:t>Информация о возможности одностороннего отказа от исполнения контракта в соответствии со статьей 95 Федерального закона №44-ФЗ</w:t>
            </w:r>
          </w:p>
        </w:tc>
        <w:tc>
          <w:tcPr>
            <w:tcW w:w="10941" w:type="dxa"/>
            <w:tcBorders>
              <w:top w:val="single" w:sz="4" w:space="0" w:color="000000"/>
              <w:left w:val="single" w:sz="4" w:space="0" w:color="000000"/>
              <w:bottom w:val="single" w:sz="4" w:space="0" w:color="000000"/>
              <w:right w:val="single" w:sz="4" w:space="0" w:color="000000"/>
            </w:tcBorders>
          </w:tcPr>
          <w:p>
            <w:pPr>
              <w:pStyle w:val="Normal"/>
              <w:jc w:val="both"/>
              <w:rPr/>
            </w:pPr>
            <w:r>
              <w:rPr/>
              <w:t>Предусмотрена возможность одностороннего отказа от исполнения контракта в соответствии с положениями частей 8-11, 13-19, 21-23 и 25 статьи 95 Федерального закона №44-ФЗ.</w:t>
            </w:r>
          </w:p>
        </w:tc>
      </w:tr>
    </w:tbl>
    <w:p>
      <w:pPr>
        <w:pStyle w:val="Normal"/>
        <w:rPr/>
      </w:pPr>
      <w:r>
        <w:rPr/>
      </w:r>
    </w:p>
    <w:sectPr>
      <w:type w:val="nextPage"/>
      <w:pgSz w:orient="landscape" w:w="16838" w:h="11906"/>
      <w:pgMar w:left="1134" w:right="1134" w:gutter="0" w:header="0" w:top="1701"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1266" w:hanging="585"/>
      </w:pPr>
      <w:rPr/>
    </w:lvl>
    <w:lvl w:ilvl="1">
      <w:start w:val="1"/>
      <w:numFmt w:val="lowerLetter"/>
      <w:lvlText w:val="%2."/>
      <w:lvlJc w:val="left"/>
      <w:pPr>
        <w:tabs>
          <w:tab w:val="num" w:pos="0"/>
        </w:tabs>
        <w:ind w:left="1761" w:hanging="360"/>
      </w:pPr>
      <w:rPr/>
    </w:lvl>
    <w:lvl w:ilvl="2">
      <w:start w:val="1"/>
      <w:numFmt w:val="lowerRoman"/>
      <w:lvlText w:val="%3."/>
      <w:lvlJc w:val="right"/>
      <w:pPr>
        <w:tabs>
          <w:tab w:val="num" w:pos="0"/>
        </w:tabs>
        <w:ind w:left="2481" w:hanging="180"/>
      </w:pPr>
      <w:rPr/>
    </w:lvl>
    <w:lvl w:ilvl="3">
      <w:start w:val="1"/>
      <w:numFmt w:val="decimal"/>
      <w:lvlText w:val="%4."/>
      <w:lvlJc w:val="left"/>
      <w:pPr>
        <w:tabs>
          <w:tab w:val="num" w:pos="0"/>
        </w:tabs>
        <w:ind w:left="3201" w:hanging="360"/>
      </w:pPr>
      <w:rPr/>
    </w:lvl>
    <w:lvl w:ilvl="4">
      <w:start w:val="1"/>
      <w:numFmt w:val="lowerLetter"/>
      <w:lvlText w:val="%5."/>
      <w:lvlJc w:val="left"/>
      <w:pPr>
        <w:tabs>
          <w:tab w:val="num" w:pos="0"/>
        </w:tabs>
        <w:ind w:left="3921" w:hanging="360"/>
      </w:pPr>
      <w:rPr/>
    </w:lvl>
    <w:lvl w:ilvl="5">
      <w:start w:val="1"/>
      <w:numFmt w:val="lowerRoman"/>
      <w:lvlText w:val="%6."/>
      <w:lvlJc w:val="right"/>
      <w:pPr>
        <w:tabs>
          <w:tab w:val="num" w:pos="0"/>
        </w:tabs>
        <w:ind w:left="4641" w:hanging="180"/>
      </w:pPr>
      <w:rPr/>
    </w:lvl>
    <w:lvl w:ilvl="6">
      <w:start w:val="1"/>
      <w:numFmt w:val="decimal"/>
      <w:lvlText w:val="%7."/>
      <w:lvlJc w:val="left"/>
      <w:pPr>
        <w:tabs>
          <w:tab w:val="num" w:pos="0"/>
        </w:tabs>
        <w:ind w:left="5361" w:hanging="360"/>
      </w:pPr>
      <w:rPr/>
    </w:lvl>
    <w:lvl w:ilvl="7">
      <w:start w:val="1"/>
      <w:numFmt w:val="lowerLetter"/>
      <w:lvlText w:val="%8."/>
      <w:lvlJc w:val="left"/>
      <w:pPr>
        <w:tabs>
          <w:tab w:val="num" w:pos="0"/>
        </w:tabs>
        <w:ind w:left="6081" w:hanging="360"/>
      </w:pPr>
      <w:rPr/>
    </w:lvl>
    <w:lvl w:ilvl="8">
      <w:start w:val="1"/>
      <w:numFmt w:val="lowerRoman"/>
      <w:lvlText w:val="%9."/>
      <w:lvlJc w:val="right"/>
      <w:pPr>
        <w:tabs>
          <w:tab w:val="num" w:pos="0"/>
        </w:tabs>
        <w:ind w:left="6801" w:hanging="180"/>
      </w:pPr>
      <w:rPr/>
    </w:lvl>
  </w:abstractNum>
  <w:abstractNum w:abstractNumId="3">
    <w:lvl w:ilvl="0">
      <w:start w:val="1"/>
      <w:numFmt w:val="decimal"/>
      <w:lvlText w:val="%1)"/>
      <w:lvlJc w:val="left"/>
      <w:pPr>
        <w:tabs>
          <w:tab w:val="num" w:pos="0"/>
        </w:tabs>
        <w:ind w:left="850" w:hanging="360"/>
      </w:pPr>
      <w:rPr/>
    </w:lvl>
    <w:lvl w:ilvl="1">
      <w:start w:val="1"/>
      <w:numFmt w:val="lowerLetter"/>
      <w:lvlText w:val="%2."/>
      <w:lvlJc w:val="left"/>
      <w:pPr>
        <w:tabs>
          <w:tab w:val="num" w:pos="0"/>
        </w:tabs>
        <w:ind w:left="1570" w:hanging="360"/>
      </w:pPr>
      <w:rPr/>
    </w:lvl>
    <w:lvl w:ilvl="2">
      <w:start w:val="1"/>
      <w:numFmt w:val="lowerRoman"/>
      <w:lvlText w:val="%3."/>
      <w:lvlJc w:val="right"/>
      <w:pPr>
        <w:tabs>
          <w:tab w:val="num" w:pos="0"/>
        </w:tabs>
        <w:ind w:left="2290" w:hanging="180"/>
      </w:pPr>
      <w:rPr/>
    </w:lvl>
    <w:lvl w:ilvl="3">
      <w:start w:val="1"/>
      <w:numFmt w:val="decimal"/>
      <w:lvlText w:val="%4."/>
      <w:lvlJc w:val="left"/>
      <w:pPr>
        <w:tabs>
          <w:tab w:val="num" w:pos="0"/>
        </w:tabs>
        <w:ind w:left="3010" w:hanging="360"/>
      </w:pPr>
      <w:rPr/>
    </w:lvl>
    <w:lvl w:ilvl="4">
      <w:start w:val="1"/>
      <w:numFmt w:val="lowerLetter"/>
      <w:lvlText w:val="%5."/>
      <w:lvlJc w:val="left"/>
      <w:pPr>
        <w:tabs>
          <w:tab w:val="num" w:pos="0"/>
        </w:tabs>
        <w:ind w:left="3730" w:hanging="360"/>
      </w:pPr>
      <w:rPr/>
    </w:lvl>
    <w:lvl w:ilvl="5">
      <w:start w:val="1"/>
      <w:numFmt w:val="lowerRoman"/>
      <w:lvlText w:val="%6."/>
      <w:lvlJc w:val="right"/>
      <w:pPr>
        <w:tabs>
          <w:tab w:val="num" w:pos="0"/>
        </w:tabs>
        <w:ind w:left="4450" w:hanging="180"/>
      </w:pPr>
      <w:rPr/>
    </w:lvl>
    <w:lvl w:ilvl="6">
      <w:start w:val="1"/>
      <w:numFmt w:val="decimal"/>
      <w:lvlText w:val="%7."/>
      <w:lvlJc w:val="left"/>
      <w:pPr>
        <w:tabs>
          <w:tab w:val="num" w:pos="0"/>
        </w:tabs>
        <w:ind w:left="5170" w:hanging="360"/>
      </w:pPr>
      <w:rPr/>
    </w:lvl>
    <w:lvl w:ilvl="7">
      <w:start w:val="1"/>
      <w:numFmt w:val="lowerLetter"/>
      <w:lvlText w:val="%8."/>
      <w:lvlJc w:val="left"/>
      <w:pPr>
        <w:tabs>
          <w:tab w:val="num" w:pos="0"/>
        </w:tabs>
        <w:ind w:left="5890" w:hanging="360"/>
      </w:pPr>
      <w:rPr/>
    </w:lvl>
    <w:lvl w:ilvl="8">
      <w:start w:val="1"/>
      <w:numFmt w:val="lowerRoman"/>
      <w:lvlText w:val="%9."/>
      <w:lvlJc w:val="right"/>
      <w:pPr>
        <w:tabs>
          <w:tab w:val="num" w:pos="0"/>
        </w:tabs>
        <w:ind w:left="661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 w:numId="6">
    <w:abstractNumId w:val="2"/>
    <w:lvlOverride w:ilvl="0">
      <w:startOverride w:val="1"/>
    </w:lvlOverride>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533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1" w:customStyle="1">
    <w:name w:val="Основной текст с отступом Знак1"/>
    <w:uiPriority w:val="99"/>
    <w:qFormat/>
    <w:locked/>
    <w:rsid w:val="009c3ed9"/>
    <w:rPr>
      <w:sz w:val="24"/>
      <w:szCs w:val="24"/>
    </w:rPr>
  </w:style>
  <w:style w:type="character" w:styleId="Style14" w:customStyle="1">
    <w:name w:val="Основной текст с отступом Знак"/>
    <w:basedOn w:val="DefaultParagraphFont"/>
    <w:uiPriority w:val="99"/>
    <w:semiHidden/>
    <w:qFormat/>
    <w:rsid w:val="009c3ed9"/>
    <w:rPr>
      <w:rFonts w:ascii="Times New Roman" w:hAnsi="Times New Roman" w:eastAsia="Times New Roman" w:cs="Times New Roman"/>
      <w:sz w:val="24"/>
      <w:szCs w:val="24"/>
      <w:lang w:eastAsia="ru-RU"/>
    </w:rPr>
  </w:style>
  <w:style w:type="character" w:styleId="Hyperlink">
    <w:name w:val="Hyperlink"/>
    <w:basedOn w:val="DefaultParagraphFont"/>
    <w:uiPriority w:val="99"/>
    <w:semiHidden/>
    <w:unhideWhenUsed/>
    <w:rsid w:val="009c3ed9"/>
    <w:rPr>
      <w:color w:val="0000FF"/>
      <w:u w:val="single"/>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BodyTextIndent">
    <w:name w:val="Body Text Indent"/>
    <w:basedOn w:val="Normal"/>
    <w:link w:val="1"/>
    <w:uiPriority w:val="99"/>
    <w:unhideWhenUsed/>
    <w:qFormat/>
    <w:rsid w:val="009c3ed9"/>
    <w:pPr>
      <w:spacing w:before="0" w:after="120"/>
      <w:ind w:left="283"/>
    </w:pPr>
    <w:rPr>
      <w:rFonts w:ascii="Calibri" w:hAnsi="Calibri" w:eastAsia="Calibri" w:cs="" w:asciiTheme="minorHAnsi" w:cstheme="minorBidi" w:eastAsiaTheme="minorHAnsi" w:hAnsiTheme="minorHAnsi"/>
      <w:lang w:eastAsia="en-US"/>
    </w:rPr>
  </w:style>
  <w:style w:type="paragraph" w:styleId="Style17" w:customStyle="1">
    <w:name w:val="Пункт"/>
    <w:basedOn w:val="Normal"/>
    <w:qFormat/>
    <w:rsid w:val="009c3ed9"/>
    <w:pPr>
      <w:tabs>
        <w:tab w:val="clear" w:pos="708"/>
        <w:tab w:val="left" w:pos="1980" w:leader="none"/>
      </w:tabs>
      <w:ind w:hanging="504" w:left="1404"/>
      <w:jc w:val="both"/>
    </w:pPr>
    <w:rPr>
      <w:szCs w:val="28"/>
    </w:rPr>
  </w:style>
  <w:style w:type="paragraph" w:styleId="Aligncenter" w:customStyle="1">
    <w:name w:val="align_center"/>
    <w:basedOn w:val="Normal"/>
    <w:qFormat/>
    <w:rsid w:val="003b3e11"/>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1610</TotalTime>
  <Application>LibreOffice/7.6.2.1$Windows_X86_64 LibreOffice_project/56f7684011345957bbf33a7ee678afaf4d2ba333</Application>
  <AppVersion>15.0000</AppVersion>
  <Pages>14</Pages>
  <Words>3813</Words>
  <Characters>27846</Characters>
  <CharactersWithSpaces>31486</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2022-01-12T12:26:00Z</dcterms:created>
  <dc:creator>Руслан Керезь</dc:creator>
  <dc:description/>
  <dc:language>ru-RU</dc:language>
  <cp:lastModifiedBy/>
  <dcterms:modified xsi:type="dcterms:W3CDTF">2023-11-10T16:23:34Z</dcterms:modified>
  <cp:revision>251</cp:revision>
  <dc:subject/>
  <dc:title/>
</cp:coreProperties>
</file>

<file path=docProps/custom.xml><?xml version="1.0" encoding="utf-8"?>
<Properties xmlns="http://schemas.openxmlformats.org/officeDocument/2006/custom-properties" xmlns:vt="http://schemas.openxmlformats.org/officeDocument/2006/docPropsVTypes"/>
</file>