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ind w:firstLine="709"/>
        <w:jc w:val="center"/>
        <w:rPr>
          <w:b/>
          <w:sz w:val="24"/>
          <w:szCs w:val="24"/>
        </w:rPr>
      </w:pPr>
      <w:r>
        <w:rPr>
          <w:b/>
          <w:sz w:val="24"/>
          <w:szCs w:val="24"/>
        </w:rPr>
        <w:t>Извещение</w:t>
      </w:r>
    </w:p>
    <w:p>
      <w:pPr>
        <w:pStyle w:val="Normal"/>
        <w:jc w:val="center"/>
        <w:rPr>
          <w:rFonts w:eastAsia="Calibri" w:eastAsiaTheme="minorHAnsi"/>
          <w:b/>
          <w:bCs/>
          <w:sz w:val="24"/>
          <w:szCs w:val="24"/>
          <w:lang w:eastAsia="en-US"/>
        </w:rPr>
      </w:pPr>
      <w:r>
        <w:rPr>
          <w:rFonts w:eastAsia="Calibri" w:eastAsiaTheme="minorHAnsi"/>
          <w:b/>
          <w:bCs/>
          <w:sz w:val="24"/>
          <w:szCs w:val="24"/>
          <w:lang w:eastAsia="en-US"/>
        </w:rPr>
        <w:t>об осуществлении закупки путем</w:t>
      </w:r>
    </w:p>
    <w:p>
      <w:pPr>
        <w:pStyle w:val="Normal"/>
        <w:jc w:val="center"/>
        <w:rPr>
          <w:rFonts w:eastAsia="Calibri" w:eastAsiaTheme="minorHAnsi"/>
          <w:b/>
          <w:bCs/>
          <w:sz w:val="24"/>
          <w:szCs w:val="24"/>
          <w:lang w:eastAsia="en-US"/>
        </w:rPr>
      </w:pPr>
      <w:r>
        <w:rPr>
          <w:rFonts w:eastAsia="Calibri" w:eastAsiaTheme="minorHAnsi"/>
          <w:b/>
          <w:bCs/>
          <w:sz w:val="24"/>
          <w:szCs w:val="24"/>
          <w:lang w:eastAsia="en-US"/>
        </w:rPr>
        <w:t>проведения электронного аукциона</w:t>
      </w:r>
    </w:p>
    <w:p>
      <w:pPr>
        <w:pStyle w:val="Normal"/>
        <w:jc w:val="center"/>
        <w:rPr>
          <w:sz w:val="24"/>
          <w:szCs w:val="24"/>
        </w:rPr>
      </w:pPr>
      <w:r>
        <w:rPr>
          <w:b/>
          <w:sz w:val="24"/>
          <w:szCs w:val="24"/>
        </w:rPr>
        <w:t>на п</w:t>
      </w:r>
      <w:r>
        <w:rPr>
          <w:rFonts w:cs="Times New Roman"/>
          <w:b/>
          <w:bCs/>
          <w:i w:val="false"/>
          <w:caps w:val="false"/>
          <w:smallCaps w:val="false"/>
          <w:color w:val="383838"/>
          <w:spacing w:val="0"/>
          <w:sz w:val="24"/>
          <w:szCs w:val="24"/>
          <w:lang w:val="ru-RU" w:eastAsia="en-US"/>
        </w:rPr>
        <w:t>риобретение и установку гибридной солнечной станции</w:t>
      </w:r>
    </w:p>
    <w:p>
      <w:pPr>
        <w:pStyle w:val="Normal"/>
        <w:jc w:val="center"/>
        <w:rPr>
          <w:sz w:val="24"/>
          <w:szCs w:val="24"/>
        </w:rPr>
      </w:pPr>
      <w:r>
        <w:rPr>
          <w:sz w:val="24"/>
          <w:szCs w:val="24"/>
        </w:rPr>
      </w:r>
    </w:p>
    <w:tbl>
      <w:tblPr>
        <w:tblW w:w="1069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254"/>
        <w:gridCol w:w="7440"/>
      </w:tblGrid>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sz w:val="24"/>
                <w:szCs w:val="24"/>
                <w:lang w:eastAsia="en-US"/>
              </w:rPr>
            </w:pPr>
            <w:r>
              <w:rPr>
                <w:b/>
                <w:bCs/>
                <w:sz w:val="24"/>
                <w:szCs w:val="24"/>
                <w:lang w:eastAsia="en-US"/>
              </w:rPr>
              <w:t>Сведения о лице, проводящем закупку</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sz w:val="24"/>
                <w:szCs w:val="24"/>
                <w:lang w:eastAsia="en-US"/>
              </w:rPr>
              <w:t>Наименование заказчика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80"/>
              <w:rPr>
                <w:sz w:val="24"/>
                <w:szCs w:val="24"/>
                <w:lang w:eastAsia="en-US"/>
              </w:rPr>
            </w:pPr>
            <w:r>
              <w:rPr>
                <w:rFonts w:cs="Times New Roman"/>
                <w:bCs/>
                <w:color w:val="000000"/>
                <w:sz w:val="24"/>
                <w:szCs w:val="24"/>
                <w:lang w:val="ru-RU" w:eastAsia="en-US"/>
              </w:rPr>
              <w:t>Администрация Урупского муниципального района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sz w:val="24"/>
                <w:szCs w:val="24"/>
                <w:lang w:eastAsia="en-US"/>
              </w:rPr>
              <w:t>Место нахождения и почтовый адрес заказчика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280"/>
              <w:rPr>
                <w:sz w:val="24"/>
                <w:szCs w:val="24"/>
                <w:lang w:eastAsia="en-US"/>
              </w:rPr>
            </w:pPr>
            <w:bookmarkStart w:id="0" w:name="_Hlk87342993"/>
            <w:bookmarkEnd w:id="0"/>
            <w:r>
              <w:rPr>
                <w:rFonts w:cs="Times New Roman"/>
                <w:bCs/>
                <w:color w:val="000000"/>
                <w:sz w:val="24"/>
                <w:szCs w:val="24"/>
                <w:lang w:val="ru-RU" w:eastAsia="en-US"/>
              </w:rPr>
              <w:t>369260, Карачаево-Черкесская Республика,  Урупский район, ст. Преградная, ул. Советская, 60</w:t>
            </w:r>
          </w:p>
        </w:tc>
      </w:tr>
      <w:tr>
        <w:trPr>
          <w:trHeight w:val="526" w:hRule="atLeast"/>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Номер контактного телефона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280"/>
              <w:rPr>
                <w:sz w:val="24"/>
                <w:szCs w:val="24"/>
              </w:rPr>
            </w:pPr>
            <w:r>
              <w:rPr>
                <w:rFonts w:cs="Times New Roman"/>
                <w:bCs/>
                <w:color w:val="000000"/>
                <w:sz w:val="24"/>
                <w:szCs w:val="24"/>
                <w:lang w:val="ru-RU" w:eastAsia="en-US"/>
              </w:rPr>
              <w:t>8(87876) 61596</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Адрес электронной почты</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280"/>
              <w:jc w:val="both"/>
              <w:rPr/>
            </w:pPr>
            <w:hyperlink r:id="rId2">
              <w:r>
                <w:rPr>
                  <w:rFonts w:cs="Times New Roman"/>
                  <w:bCs/>
                  <w:sz w:val="24"/>
                  <w:szCs w:val="24"/>
                  <w:lang w:val="en-US"/>
                </w:rPr>
                <w:t>econimik</w:t>
              </w:r>
              <w:r>
                <w:rPr>
                  <w:rFonts w:cs="Times New Roman"/>
                  <w:bCs/>
                  <w:sz w:val="24"/>
                  <w:szCs w:val="24"/>
                  <w:lang w:val="ru-RU"/>
                </w:rPr>
                <w:t>_</w:t>
              </w:r>
              <w:r>
                <w:rPr>
                  <w:rFonts w:cs="Times New Roman"/>
                  <w:bCs/>
                  <w:sz w:val="24"/>
                  <w:szCs w:val="24"/>
                  <w:lang w:val="en-US"/>
                </w:rPr>
                <w:t>urup</w:t>
              </w:r>
              <w:r>
                <w:rPr>
                  <w:rFonts w:cs="Times New Roman"/>
                  <w:bCs/>
                  <w:sz w:val="24"/>
                  <w:szCs w:val="24"/>
                  <w:lang w:val="ru-RU"/>
                </w:rPr>
                <w:t>@</w:t>
              </w:r>
              <w:r>
                <w:rPr>
                  <w:rFonts w:cs="Times New Roman"/>
                  <w:bCs/>
                  <w:sz w:val="24"/>
                  <w:szCs w:val="24"/>
                  <w:lang w:val="en-US"/>
                </w:rPr>
                <w:t>mail</w:t>
              </w:r>
              <w:r>
                <w:rPr>
                  <w:rFonts w:cs="Times New Roman"/>
                  <w:bCs/>
                  <w:sz w:val="24"/>
                  <w:szCs w:val="24"/>
                  <w:lang w:val="ru-RU"/>
                </w:rPr>
                <w:t>.</w:t>
              </w:r>
              <w:r>
                <w:rPr>
                  <w:rFonts w:cs="Times New Roman"/>
                  <w:bCs/>
                  <w:sz w:val="24"/>
                  <w:szCs w:val="24"/>
                  <w:lang w:val="en-US"/>
                </w:rPr>
                <w:t>ru</w:t>
              </w:r>
            </w:hyperlink>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Ответственное должностное лицо</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0"/>
              <w:rPr>
                <w:sz w:val="24"/>
                <w:szCs w:val="24"/>
                <w:lang w:eastAsia="en-US"/>
              </w:rPr>
            </w:pPr>
            <w:r>
              <w:rPr>
                <w:rFonts w:cs="Times New Roman"/>
                <w:color w:val="000000"/>
                <w:sz w:val="24"/>
                <w:szCs w:val="24"/>
                <w:lang w:val="ru-RU" w:eastAsia="en-US"/>
              </w:rPr>
              <w:t>Ольга Владимировна Тинт</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0"/>
              <w:ind w:left="75" w:right="75" w:hanging="0"/>
              <w:rPr>
                <w:sz w:val="24"/>
                <w:szCs w:val="24"/>
                <w:lang w:eastAsia="en-US"/>
              </w:rPr>
            </w:pPr>
            <w:r>
              <w:rPr>
                <w:rFonts w:cs="Times New Roman"/>
                <w:color w:val="000000"/>
                <w:sz w:val="24"/>
                <w:szCs w:val="24"/>
                <w:lang w:val="ru-RU" w:eastAsia="en-US"/>
              </w:rPr>
              <w:t>Информация о контрактной службе, контрактном управляющем, ответственных за заключение контракта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80"/>
              <w:rPr>
                <w:rFonts w:cs="Times New Roman"/>
                <w:bCs/>
                <w:color w:val="000000"/>
                <w:sz w:val="24"/>
                <w:szCs w:val="24"/>
                <w:lang w:val="ru-RU"/>
              </w:rPr>
            </w:pPr>
            <w:r>
              <w:rPr>
                <w:rFonts w:cs="Times New Roman"/>
                <w:bCs/>
                <w:color w:val="000000"/>
                <w:sz w:val="24"/>
                <w:szCs w:val="24"/>
                <w:lang w:val="ru-RU"/>
              </w:rPr>
              <w:t>Состав единой комиссии администрации Урупского муниципального района утвержден постановлением администрации Урупского муниципального района</w:t>
            </w:r>
          </w:p>
          <w:p>
            <w:pPr>
              <w:pStyle w:val="Normal"/>
              <w:widowControl w:val="false"/>
              <w:ind w:left="0" w:right="0" w:firstLine="720"/>
              <w:jc w:val="both"/>
              <w:rPr>
                <w:sz w:val="24"/>
                <w:szCs w:val="24"/>
              </w:rPr>
            </w:pPr>
            <w:r>
              <w:rPr>
                <w:rFonts w:cs="Times New Roman"/>
                <w:bCs/>
                <w:sz w:val="24"/>
                <w:szCs w:val="24"/>
                <w:lang w:val="ru-RU"/>
              </w:rPr>
              <w:t xml:space="preserve"> </w:t>
            </w:r>
            <w:r>
              <w:rPr>
                <w:bCs/>
                <w:sz w:val="24"/>
                <w:szCs w:val="24"/>
                <w:lang w:val="ru-RU"/>
              </w:rPr>
              <w:t>№</w:t>
            </w:r>
            <w:r>
              <w:rPr>
                <w:bCs/>
                <w:sz w:val="24"/>
                <w:szCs w:val="24"/>
                <w:lang w:val="ru-RU"/>
              </w:rPr>
              <w:t>77 от 29.01.2014.</w:t>
            </w:r>
          </w:p>
          <w:p>
            <w:pPr>
              <w:pStyle w:val="Normal"/>
              <w:widowControl w:val="false"/>
              <w:spacing w:before="0" w:after="280"/>
              <w:rPr>
                <w:rFonts w:cs="Times New Roman"/>
                <w:bCs/>
                <w:color w:val="000000"/>
                <w:sz w:val="24"/>
                <w:szCs w:val="24"/>
                <w:lang w:val="ru-RU"/>
              </w:rPr>
            </w:pPr>
            <w:r>
              <w:rPr>
                <w:rFonts w:cs="Times New Roman"/>
                <w:bCs/>
                <w:color w:val="000000"/>
                <w:sz w:val="24"/>
                <w:szCs w:val="24"/>
                <w:lang w:val="ru-RU"/>
              </w:rPr>
              <w:t>На основании постановления №499 от 23.11.2016 «о внесении изменений в постановлении от 29.01.14 №77 «Об утверждении положения и состава Единой комиссии по осуществлению закупок для нужд администрации Урупского муниципального района» утверждена комиссия  в составе:</w:t>
            </w:r>
          </w:p>
          <w:p>
            <w:pPr>
              <w:pStyle w:val="Normal"/>
              <w:widowControl w:val="false"/>
              <w:tabs>
                <w:tab w:val="clear" w:pos="708"/>
                <w:tab w:val="left" w:pos="567" w:leader="none"/>
              </w:tabs>
              <w:suppressAutoHyphens w:val="false"/>
              <w:spacing w:before="0" w:after="280"/>
              <w:rPr>
                <w:rFonts w:cs="Times New Roman"/>
                <w:bCs/>
                <w:color w:val="000000"/>
                <w:sz w:val="24"/>
                <w:szCs w:val="24"/>
                <w:lang w:val="ru-RU"/>
              </w:rPr>
            </w:pPr>
            <w:r>
              <w:rPr>
                <w:rFonts w:cs="Times New Roman"/>
                <w:bCs/>
                <w:color w:val="000000"/>
                <w:sz w:val="24"/>
                <w:szCs w:val="24"/>
                <w:lang w:val="ru-RU"/>
              </w:rPr>
              <w:t>Байрамкулов Р. И.- Первый заместитель главы администрации Урупского муниципального района, председатель комиссии;</w:t>
            </w:r>
          </w:p>
          <w:p>
            <w:pPr>
              <w:pStyle w:val="Normal"/>
              <w:widowControl w:val="false"/>
              <w:tabs>
                <w:tab w:val="clear" w:pos="708"/>
                <w:tab w:val="left" w:pos="567" w:leader="none"/>
              </w:tabs>
              <w:suppressAutoHyphens w:val="false"/>
              <w:spacing w:before="0" w:after="280"/>
              <w:rPr>
                <w:rFonts w:cs="Times New Roman"/>
                <w:bCs/>
                <w:color w:val="000000"/>
                <w:sz w:val="24"/>
                <w:szCs w:val="24"/>
                <w:lang w:val="ru-RU"/>
              </w:rPr>
            </w:pPr>
            <w:r>
              <w:rPr>
                <w:rFonts w:cs="Times New Roman"/>
                <w:bCs/>
                <w:color w:val="000000"/>
                <w:sz w:val="24"/>
                <w:szCs w:val="24"/>
                <w:lang w:val="ru-RU"/>
              </w:rPr>
              <w:t>Мархель Ю.В.- начальник отдела социально-экономического развития, бухгалтерского учета  и имущественных отношений администрации Урупского муниципального района, секретарь комиссии;</w:t>
            </w:r>
          </w:p>
          <w:p>
            <w:pPr>
              <w:pStyle w:val="Normal"/>
              <w:widowControl w:val="false"/>
              <w:tabs>
                <w:tab w:val="clear" w:pos="708"/>
                <w:tab w:val="left" w:pos="567" w:leader="none"/>
              </w:tabs>
              <w:suppressAutoHyphens w:val="false"/>
              <w:rPr>
                <w:sz w:val="24"/>
                <w:szCs w:val="24"/>
                <w:lang w:val="ru-RU"/>
              </w:rPr>
            </w:pPr>
            <w:r>
              <w:rPr>
                <w:sz w:val="24"/>
                <w:szCs w:val="24"/>
                <w:lang w:val="ru-RU"/>
              </w:rPr>
              <w:t>Байрамкулов М.А.-юрисконсульт администрации Урупского муниципального района;</w:t>
            </w:r>
          </w:p>
          <w:p>
            <w:pPr>
              <w:pStyle w:val="Normal"/>
              <w:widowControl w:val="false"/>
              <w:tabs>
                <w:tab w:val="clear" w:pos="708"/>
                <w:tab w:val="left" w:pos="9136" w:leader="none"/>
              </w:tabs>
              <w:suppressAutoHyphens w:val="false"/>
              <w:jc w:val="both"/>
              <w:rPr>
                <w:sz w:val="24"/>
                <w:szCs w:val="24"/>
                <w:lang w:val="ru-RU"/>
              </w:rPr>
            </w:pPr>
            <w:r>
              <w:rPr>
                <w:sz w:val="24"/>
                <w:szCs w:val="24"/>
                <w:lang w:val="ru-RU"/>
              </w:rPr>
              <w:t>Тинт О. В.- ведущий специалист отдела социально-экономического развития, бухгалтерского учета  и имущественных отношений администрации Урупского муниципального района;</w:t>
            </w:r>
          </w:p>
          <w:p>
            <w:pPr>
              <w:pStyle w:val="Normal"/>
              <w:widowControl w:val="false"/>
              <w:tabs>
                <w:tab w:val="clear" w:pos="708"/>
                <w:tab w:val="left" w:pos="9136" w:leader="none"/>
              </w:tabs>
              <w:suppressAutoHyphens w:val="false"/>
              <w:jc w:val="both"/>
              <w:rPr>
                <w:sz w:val="24"/>
                <w:szCs w:val="24"/>
              </w:rPr>
            </w:pPr>
            <w:r>
              <w:rPr>
                <w:sz w:val="24"/>
                <w:szCs w:val="24"/>
                <w:lang w:val="ru-RU"/>
              </w:rPr>
              <w:t>Бостанова М.М.-</w:t>
            </w:r>
            <w:r>
              <w:rPr>
                <w:bCs/>
                <w:sz w:val="24"/>
                <w:szCs w:val="24"/>
                <w:lang w:val="ru-RU"/>
              </w:rPr>
              <w:t>.заместитель начальника – главный бухгалтер отдела социально-экономического развития, бухгалтерского учета  и имущественных отношений администрации Урупского муниципального района</w:t>
            </w:r>
          </w:p>
          <w:p>
            <w:pPr>
              <w:pStyle w:val="Normal"/>
              <w:widowControl w:val="false"/>
              <w:spacing w:before="280" w:after="0"/>
              <w:ind w:left="0" w:right="0" w:firstLine="540"/>
              <w:jc w:val="both"/>
              <w:rPr>
                <w:rFonts w:cs="Times New Roman"/>
                <w:bCs/>
                <w:color w:val="000000"/>
                <w:sz w:val="24"/>
                <w:szCs w:val="24"/>
                <w:lang w:val="ru-RU" w:eastAsia="en-US"/>
              </w:rPr>
            </w:pPr>
            <w:r>
              <w:rPr>
                <w:rFonts w:cs="Times New Roman"/>
                <w:bCs/>
                <w:color w:val="000000"/>
                <w:sz w:val="24"/>
                <w:szCs w:val="24"/>
                <w:lang w:val="ru-RU" w:eastAsia="en-US"/>
              </w:rPr>
              <w:t>Ответственный за заключение контракта – Тинт О. В.</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Специализированная организация</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привлекалась</w:t>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sz w:val="24"/>
                <w:szCs w:val="24"/>
                <w:lang w:eastAsia="en-US"/>
              </w:rPr>
            </w:pPr>
            <w:r>
              <w:rPr>
                <w:b/>
                <w:sz w:val="24"/>
                <w:szCs w:val="24"/>
                <w:lang w:eastAsia="en-US"/>
              </w:rPr>
              <w:t>Основная информация о закупке</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Идентификационный код закупки (ИКЗ)</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Style27"/>
              <w:widowControl w:val="false"/>
              <w:spacing w:before="0" w:after="0"/>
              <w:jc w:val="both"/>
              <w:rPr>
                <w:rFonts w:ascii="Times New Roman" w:hAnsi="Times New Roman"/>
                <w:i w:val="false"/>
                <w:i w:val="false"/>
                <w:iCs w:val="false"/>
                <w:color w:val="000000"/>
                <w:sz w:val="28"/>
                <w:szCs w:val="28"/>
              </w:rPr>
            </w:pPr>
            <w:r>
              <w:rPr>
                <w:rFonts w:ascii="Times New Roman" w:hAnsi="Times New Roman"/>
                <w:i w:val="false"/>
                <w:iCs w:val="false"/>
                <w:color w:val="000000"/>
                <w:sz w:val="28"/>
                <w:szCs w:val="28"/>
              </w:rPr>
              <w:t>233091200056909120100100120014222244</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bCs/>
                <w:sz w:val="24"/>
                <w:szCs w:val="24"/>
                <w:lang w:eastAsia="en-US"/>
              </w:rPr>
              <w:t>Способ определения поставщика (подрядчика, исполнителя)</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Открытый аукцион в электронной форме (электронный аукцион)</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bCs/>
                <w:sz w:val="24"/>
                <w:szCs w:val="24"/>
                <w:lang w:eastAsia="en-US"/>
              </w:rPr>
              <w:t>Адрес в сети Интернет электронной площадки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http://www.sberbank-ast.ru</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Cs/>
                <w:sz w:val="24"/>
                <w:szCs w:val="24"/>
                <w:lang w:eastAsia="en-US"/>
              </w:rPr>
            </w:pPr>
            <w:r>
              <w:rPr>
                <w:sz w:val="24"/>
                <w:szCs w:val="24"/>
                <w:lang w:eastAsia="en-US"/>
              </w:rPr>
              <w:t>Наименование объекта закупки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sz w:val="28"/>
                <w:szCs w:val="28"/>
              </w:rPr>
            </w:pPr>
            <w:r>
              <w:rPr>
                <w:rFonts w:cs="Times New Roman"/>
                <w:b w:val="false"/>
                <w:bCs w:val="false"/>
                <w:i w:val="false"/>
                <w:caps w:val="false"/>
                <w:smallCaps w:val="false"/>
                <w:color w:val="383838"/>
                <w:spacing w:val="0"/>
                <w:sz w:val="28"/>
                <w:szCs w:val="28"/>
                <w:lang w:val="ru-RU" w:eastAsia="en-US"/>
              </w:rPr>
              <w:t>Приобретение и установка гибридной солнечной станции</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См. Приложение 3</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eastAsiaTheme="minorHAnsi"/>
                <w:sz w:val="24"/>
                <w:szCs w:val="24"/>
                <w:lang w:eastAsia="en-US"/>
              </w:rPr>
            </w:pPr>
            <w:r>
              <w:rPr>
                <w:rFonts w:eastAsia="Calibri" w:eastAsiaTheme="minorHAnsi"/>
                <w:sz w:val="24"/>
                <w:szCs w:val="24"/>
                <w:lang w:eastAsia="en-US"/>
              </w:rPr>
              <w:t>Максимальное значение цены контракта</w:t>
            </w:r>
          </w:p>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r>
          </w:p>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r>
          </w:p>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r>
          </w:p>
          <w:p>
            <w:pPr>
              <w:pStyle w:val="Normal"/>
              <w:widowControl w:val="false"/>
              <w:rPr>
                <w:sz w:val="24"/>
                <w:szCs w:val="24"/>
                <w:lang w:eastAsia="en-US"/>
              </w:rPr>
            </w:pPr>
            <w:r>
              <w:rPr>
                <w:sz w:val="24"/>
                <w:szCs w:val="24"/>
                <w:lang w:eastAsia="en-US"/>
              </w:rPr>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280"/>
              <w:rPr>
                <w:color w:val="000000"/>
              </w:rPr>
            </w:pPr>
            <w:r>
              <w:rPr>
                <w:rFonts w:cs="Times New Roman"/>
                <w:color w:val="000000"/>
                <w:sz w:val="24"/>
                <w:szCs w:val="24"/>
                <w:lang w:eastAsia="en-US"/>
              </w:rPr>
              <w:t>1600000,00 (один миллион шестьсот тысяч рублей</w:t>
            </w:r>
            <w:r>
              <w:rPr>
                <w:rFonts w:cs="Times New Roman"/>
                <w:color w:val="000000"/>
                <w:sz w:val="24"/>
                <w:szCs w:val="24"/>
                <w:lang w:val="ru-RU" w:eastAsia="en-US"/>
              </w:rPr>
              <w:t xml:space="preserve"> </w:t>
            </w:r>
            <w:r>
              <w:rPr>
                <w:rFonts w:cs="Times New Roman"/>
                <w:color w:val="000000"/>
                <w:sz w:val="24"/>
                <w:szCs w:val="24"/>
                <w:lang w:eastAsia="en-US"/>
              </w:rPr>
              <w:t>) руб. 00 коп.</w:t>
            </w:r>
          </w:p>
          <w:p>
            <w:pPr>
              <w:pStyle w:val="Normal"/>
              <w:widowControl w:val="false"/>
              <w:rPr>
                <w:color w:val="000000"/>
              </w:rPr>
            </w:pPr>
            <w:r>
              <w:rPr>
                <w:color w:val="000000"/>
              </w:rPr>
            </w:r>
          </w:p>
          <w:p>
            <w:pPr>
              <w:pStyle w:val="Normal"/>
              <w:widowControl w:val="false"/>
              <w:rPr>
                <w:sz w:val="24"/>
                <w:szCs w:val="24"/>
              </w:rPr>
            </w:pPr>
            <w:r>
              <w:rPr>
                <w:sz w:val="24"/>
                <w:szCs w:val="24"/>
              </w:rPr>
            </w:r>
          </w:p>
          <w:p>
            <w:pPr>
              <w:pStyle w:val="Normal"/>
              <w:widowControl w:val="false"/>
              <w:rPr>
                <w:sz w:val="24"/>
                <w:szCs w:val="24"/>
              </w:rPr>
            </w:pPr>
            <w:r>
              <w:rPr>
                <w:sz w:val="24"/>
                <w:szCs w:val="24"/>
              </w:rPr>
            </w:r>
          </w:p>
          <w:p>
            <w:pPr>
              <w:pStyle w:val="Normal"/>
              <w:widowControl w:val="false"/>
              <w:rPr>
                <w:sz w:val="24"/>
                <w:szCs w:val="24"/>
                <w:lang w:eastAsia="en-US"/>
              </w:rPr>
            </w:pPr>
            <w:r>
              <w:rPr>
                <w:sz w:val="24"/>
                <w:szCs w:val="24"/>
                <w:lang w:eastAsia="en-US"/>
              </w:rPr>
              <w:t>См. Приложение 1</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Валюта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Российский рубль</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Источник финансирования</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Бюджет Урупского муниципального района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Размер аванса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highlight w:val="none"/>
                <w:shd w:fill="auto" w:val="clear"/>
              </w:rPr>
            </w:pPr>
            <w:r>
              <w:rPr>
                <w:sz w:val="24"/>
                <w:szCs w:val="24"/>
                <w:shd w:fill="auto" w:val="clear"/>
                <w:lang w:eastAsia="en-US"/>
              </w:rPr>
              <w:t>30 % - аванс (предоплата)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lang w:eastAsia="en-US"/>
              </w:rPr>
            </w:pPr>
            <w:r>
              <w:rPr>
                <w:sz w:val="24"/>
                <w:szCs w:val="24"/>
                <w:lang w:eastAsia="en-US"/>
              </w:rPr>
              <w:t>Информация о возможности заказчика заключить контракты с несколькими участниками закупки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sz w:val="24"/>
                <w:szCs w:val="24"/>
                <w:lang w:eastAsia="en-US"/>
              </w:rPr>
            </w:pPr>
            <w:r>
              <w:rPr>
                <w:sz w:val="24"/>
                <w:szCs w:val="24"/>
                <w:lang w:eastAsia="en-US"/>
              </w:rPr>
              <w:t>Не применяется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 процедуре закупки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Дата и время окончания срока подачи заявок</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highlight w:val="none"/>
                <w:shd w:fill="auto" w:val="clear"/>
              </w:rPr>
            </w:pPr>
            <w:r>
              <w:rPr>
                <w:rFonts w:cs="Times New Roman"/>
                <w:color w:val="000000"/>
                <w:sz w:val="24"/>
                <w:szCs w:val="24"/>
                <w:shd w:fill="auto" w:val="clear"/>
                <w:lang w:eastAsia="en-US"/>
              </w:rPr>
              <w:t>12.10.2023</w:t>
            </w:r>
            <w:r>
              <w:rPr>
                <w:color w:val="000000"/>
                <w:sz w:val="24"/>
                <w:szCs w:val="24"/>
                <w:shd w:fill="auto" w:val="clear"/>
                <w:lang w:eastAsia="en-US"/>
              </w:rPr>
              <w:t xml:space="preserve"> 09:00 (время московское)</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Дата проведения процедуры подачи предложений о цене контракта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highlight w:val="none"/>
                <w:shd w:fill="auto" w:val="clear"/>
              </w:rPr>
            </w:pPr>
            <w:r>
              <w:rPr>
                <w:rFonts w:cs="Times New Roman"/>
                <w:color w:val="000000"/>
                <w:sz w:val="24"/>
                <w:szCs w:val="24"/>
                <w:shd w:fill="auto" w:val="clear"/>
                <w:lang w:eastAsia="en-US"/>
              </w:rPr>
              <w:t>12.10.2023</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Дата подведения итогов определения поставщика (подрядчика, исполнителя)</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highlight w:val="none"/>
                <w:shd w:fill="auto" w:val="clear"/>
              </w:rPr>
            </w:pPr>
            <w:r>
              <w:rPr>
                <w:rFonts w:cs="Times New Roman"/>
                <w:color w:val="000000"/>
                <w:sz w:val="24"/>
                <w:szCs w:val="24"/>
                <w:shd w:fill="auto" w:val="clear"/>
                <w:lang w:eastAsia="en-US"/>
              </w:rPr>
              <w:t>13.10.2023</w:t>
            </w:r>
            <w:r>
              <w:rPr>
                <w:color w:val="000000"/>
                <w:sz w:val="24"/>
                <w:szCs w:val="24"/>
                <w:shd w:fill="auto" w:val="clear"/>
                <w:lang w:eastAsia="en-US"/>
              </w:rPr>
              <w:t xml:space="preserve"> – в течении 2 рабочих дней после окончания электронного аукциона</w:t>
            </w:r>
            <w:bookmarkStart w:id="1" w:name="_GoBack"/>
            <w:bookmarkEnd w:id="1"/>
          </w:p>
        </w:tc>
      </w:tr>
      <w:tr>
        <w:trPr>
          <w:trHeight w:val="381" w:hRule="atLeast"/>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об участниках</w:t>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Преимущества и требования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rPr>
                <w:szCs w:val="24"/>
                <w:lang w:eastAsia="en-US"/>
              </w:rPr>
            </w:pPr>
            <w:r>
              <w:rPr>
                <w:szCs w:val="24"/>
                <w:lang w:eastAsia="en-US"/>
              </w:rPr>
              <w:t>Учреждениям и предприятиям уголовно-исполнительной системы</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Не установлены</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rPr>
                <w:szCs w:val="24"/>
                <w:lang w:eastAsia="en-US"/>
              </w:rPr>
            </w:pPr>
            <w:r>
              <w:rPr>
                <w:szCs w:val="24"/>
                <w:lang w:eastAsia="en-US"/>
              </w:rPr>
              <w:t>Организациям инвалидов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Не установлены</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ConsPlusNormal"/>
              <w:widowControl w:val="false"/>
              <w:rPr>
                <w:szCs w:val="24"/>
                <w:lang w:eastAsia="en-US"/>
              </w:rPr>
            </w:pPr>
            <w:r>
              <w:rPr>
                <w:szCs w:val="24"/>
                <w:lang w:eastAsia="en-US"/>
              </w:rPr>
              <w:t>Информация об условиях, о запретах и об ограничениях допуска товаров, происходящих из иностранного государства или группы иностранных государств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rFonts w:eastAsia="Times New Roman" w:cs="Times New Roman"/>
                <w:sz w:val="24"/>
                <w:szCs w:val="24"/>
                <w:lang w:eastAsia="en-US"/>
              </w:rPr>
              <w:t>Не установлены</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Участниками могут быть только СМП, СОНКО</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rFonts w:eastAsia="Times New Roman" w:cs="Times New Roman"/>
                <w:color w:val="000000"/>
                <w:sz w:val="24"/>
                <w:szCs w:val="24"/>
                <w:lang w:eastAsia="en-US"/>
              </w:rPr>
              <w:t>Не установлены</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Привлечение субподрядчиков, соисполнителей из числа СМП, СОНКО</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предъявляется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 xml:space="preserve">Единые требования к участникам закупки (в соответствии с ч. 1 ст. 31 Федерального закона от 05.04.2013 № 44-ФЗ </w:t>
            </w:r>
            <w:r>
              <w:rPr/>
              <w:t>«О контрактной системе в сфере закупок товаров, работ, услуг для обеспечения государственных и муниципальных нужд» (далее – Закон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460"/>
              <w:jc w:val="both"/>
              <w:rPr>
                <w:sz w:val="24"/>
                <w:szCs w:val="24"/>
                <w:lang w:eastAsia="en-US"/>
              </w:rPr>
            </w:pPr>
            <w:r>
              <w:rPr>
                <w:sz w:val="24"/>
                <w:szCs w:val="24"/>
                <w:lang w:eastAsia="en-US"/>
              </w:rPr>
              <w:t>Предъявляются.</w:t>
            </w:r>
          </w:p>
          <w:p>
            <w:pPr>
              <w:pStyle w:val="Normal"/>
              <w:widowControl w:val="false"/>
              <w:ind w:firstLine="460"/>
              <w:jc w:val="both"/>
              <w:rPr>
                <w:sz w:val="24"/>
                <w:szCs w:val="24"/>
                <w:lang w:eastAsia="en-US"/>
              </w:rPr>
            </w:pPr>
            <w:r>
              <w:rPr>
                <w:sz w:val="24"/>
                <w:szCs w:val="24"/>
                <w:lang w:eastAsia="en-US"/>
              </w:rPr>
              <w:t>1. </w:t>
            </w:r>
            <w:r>
              <w:rPr>
                <w:rFonts w:eastAsia="Calibri" w:eastAsiaTheme="minorHAnsi"/>
                <w:sz w:val="24"/>
                <w:szCs w:val="24"/>
                <w:lang w:eastAsia="en-US"/>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4"/>
                <w:szCs w:val="24"/>
                <w:lang w:eastAsia="en-US"/>
              </w:rPr>
              <w:t>:</w:t>
            </w:r>
          </w:p>
          <w:p>
            <w:pPr>
              <w:pStyle w:val="Normal"/>
              <w:widowControl w:val="false"/>
              <w:ind w:firstLine="460"/>
              <w:jc w:val="both"/>
              <w:rPr>
                <w:sz w:val="24"/>
                <w:szCs w:val="24"/>
                <w:lang w:eastAsia="en-US"/>
              </w:rPr>
            </w:pPr>
            <w:r>
              <w:rPr>
                <w:sz w:val="24"/>
                <w:szCs w:val="24"/>
                <w:lang w:eastAsia="en-US"/>
              </w:rPr>
              <w:t>не установлено.</w:t>
            </w:r>
          </w:p>
          <w:p>
            <w:pPr>
              <w:pStyle w:val="Normal"/>
              <w:widowControl w:val="false"/>
              <w:ind w:firstLine="460"/>
              <w:jc w:val="both"/>
              <w:rPr>
                <w:sz w:val="24"/>
                <w:szCs w:val="24"/>
                <w:lang w:eastAsia="en-US"/>
              </w:rPr>
            </w:pPr>
            <w:bookmarkStart w:id="2" w:name="_Hlk87347654"/>
            <w:bookmarkEnd w:id="2"/>
            <w:r>
              <w:rPr>
                <w:sz w:val="24"/>
                <w:szCs w:val="24"/>
                <w:lang w:eastAsia="en-US"/>
              </w:rPr>
              <w:t>2. Не</w:t>
            </w:r>
            <w:r>
              <w:rPr>
                <w:rFonts w:eastAsia="Calibri" w:eastAsiaTheme="minorHAnsi"/>
                <w:sz w:val="24"/>
                <w:szCs w:val="24"/>
                <w:lang w:eastAsia="en-US"/>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Pr>
                <w:sz w:val="24"/>
                <w:szCs w:val="24"/>
                <w:lang w:eastAsia="en-US"/>
              </w:rPr>
              <w:t>.</w:t>
            </w:r>
          </w:p>
          <w:p>
            <w:pPr>
              <w:pStyle w:val="Normal"/>
              <w:widowControl w:val="false"/>
              <w:ind w:firstLine="460"/>
              <w:jc w:val="both"/>
              <w:rPr>
                <w:sz w:val="24"/>
                <w:szCs w:val="24"/>
                <w:lang w:eastAsia="en-US"/>
              </w:rPr>
            </w:pPr>
            <w:bookmarkStart w:id="3" w:name="_Hlk87347733"/>
            <w:bookmarkStart w:id="4" w:name="_Hlk873476541"/>
            <w:bookmarkEnd w:id="3"/>
            <w:bookmarkEnd w:id="4"/>
            <w:r>
              <w:rPr>
                <w:sz w:val="24"/>
                <w:szCs w:val="24"/>
                <w:lang w:eastAsia="en-US"/>
              </w:rPr>
              <w:t>3. Неприостановление деятельности участника закупки в порядке, установленном Кодексом Российской Федерации об административных правонарушениях.</w:t>
            </w:r>
          </w:p>
          <w:p>
            <w:pPr>
              <w:pStyle w:val="Normal"/>
              <w:widowControl w:val="false"/>
              <w:ind w:firstLine="460"/>
              <w:jc w:val="both"/>
              <w:rPr>
                <w:rFonts w:eastAsia="Calibri" w:eastAsiaTheme="minorHAnsi"/>
                <w:sz w:val="24"/>
                <w:szCs w:val="24"/>
                <w:lang w:eastAsia="en-US"/>
              </w:rPr>
            </w:pPr>
            <w:bookmarkStart w:id="5" w:name="_Hlk87347777"/>
            <w:bookmarkStart w:id="6" w:name="_Hlk873477331"/>
            <w:bookmarkEnd w:id="5"/>
            <w:bookmarkEnd w:id="6"/>
            <w:r>
              <w:rPr>
                <w:sz w:val="24"/>
                <w:szCs w:val="24"/>
                <w:lang w:eastAsia="en-US"/>
              </w:rPr>
              <w:t>4.</w:t>
            </w:r>
            <w:r>
              <w:rPr>
                <w:rFonts w:eastAsia="Calibri" w:eastAsiaTheme="minorHAnsi"/>
                <w:sz w:val="24"/>
                <w:szCs w:val="24"/>
                <w:lang w:eastAsia="en-US"/>
              </w:rPr>
              <w:t xml:space="preserve"> </w:t>
            </w:r>
            <w:r>
              <w:rPr>
                <w:rFonts w:eastAsia="Calibri" w:eastAsiaTheme="minorHAnsi"/>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sz w:val="24"/>
                <w:szCs w:val="24"/>
                <w:lang w:eastAsia="en-US"/>
              </w:rPr>
              <w:t>.</w:t>
            </w:r>
          </w:p>
          <w:p>
            <w:pPr>
              <w:pStyle w:val="Normal"/>
              <w:widowControl w:val="false"/>
              <w:ind w:firstLine="460"/>
              <w:jc w:val="both"/>
              <w:rPr>
                <w:rFonts w:eastAsia="Calibri" w:eastAsiaTheme="minorHAnsi"/>
                <w:sz w:val="24"/>
                <w:szCs w:val="24"/>
                <w:lang w:eastAsia="en-US"/>
              </w:rPr>
            </w:pPr>
            <w:bookmarkStart w:id="7" w:name="_Hlk87348099"/>
            <w:bookmarkStart w:id="8" w:name="_Hlk873477771"/>
            <w:bookmarkEnd w:id="7"/>
            <w:bookmarkEnd w:id="8"/>
            <w:r>
              <w:rPr>
                <w:sz w:val="24"/>
                <w:szCs w:val="24"/>
                <w:lang w:eastAsia="en-US"/>
              </w:rPr>
              <w:t xml:space="preserve">5. </w:t>
            </w:r>
            <w:r>
              <w:rPr>
                <w:rFonts w:eastAsia="Calibri" w:eastAsiaTheme="minorHAnsi"/>
                <w:sz w:val="24"/>
                <w:szCs w:val="24"/>
                <w:lang w:eastAsia="en-US"/>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w:t>
            </w:r>
            <w:r>
              <w:rPr>
                <w:rFonts w:eastAsia="Calibri" w:eastAsiaTheme="minorHAnsi"/>
                <w:sz w:val="24"/>
                <w:szCs w:val="24"/>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w:t>
            </w:r>
            <w:r>
              <w:rPr>
                <w:rFonts w:eastAsia="Calibri" w:eastAsiaTheme="minorHAnsi"/>
                <w:sz w:val="24"/>
                <w:szCs w:val="24"/>
                <w:lang w:eastAsia="en-US"/>
              </w:rPr>
              <w:t xml:space="preserve">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Pr>
                <w:sz w:val="24"/>
                <w:szCs w:val="24"/>
                <w:lang w:eastAsia="en-US"/>
              </w:rPr>
              <w:t>.</w:t>
            </w:r>
          </w:p>
          <w:p>
            <w:pPr>
              <w:pStyle w:val="Normal"/>
              <w:widowControl w:val="false"/>
              <w:ind w:firstLine="460"/>
              <w:jc w:val="both"/>
              <w:rPr>
                <w:sz w:val="24"/>
                <w:szCs w:val="24"/>
                <w:lang w:eastAsia="en-US"/>
              </w:rPr>
            </w:pPr>
            <w:bookmarkStart w:id="9" w:name="_Hlk87348254"/>
            <w:bookmarkStart w:id="10" w:name="_Hlk873480991"/>
            <w:bookmarkEnd w:id="9"/>
            <w:bookmarkEnd w:id="10"/>
            <w:r>
              <w:rPr>
                <w:sz w:val="24"/>
                <w:szCs w:val="24"/>
                <w:lang w:eastAsia="en-US"/>
              </w:rPr>
              <w:t xml:space="preserve">6. </w:t>
            </w:r>
            <w:r>
              <w:rPr>
                <w:rFonts w:eastAsia="Calibri" w:eastAsiaTheme="minorHAnsi"/>
                <w:sz w:val="24"/>
                <w:szCs w:val="24"/>
                <w:lang w:eastAsia="en-US"/>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Pr>
                <w:rFonts w:eastAsia="Calibri" w:eastAsiaTheme="minorHAnsi"/>
                <w:sz w:val="24"/>
                <w:szCs w:val="24"/>
              </w:rPr>
              <w:t>предусмотренного статьей 19.28</w:t>
            </w:r>
            <w:r>
              <w:rPr>
                <w:rFonts w:eastAsia="Calibri" w:eastAsiaTheme="minorHAnsi"/>
                <w:sz w:val="24"/>
                <w:szCs w:val="24"/>
                <w:lang w:eastAsia="en-US"/>
              </w:rPr>
              <w:t xml:space="preserve"> Кодекса Российской Федерации об административных правонарушениях</w:t>
            </w:r>
            <w:r>
              <w:rPr>
                <w:sz w:val="24"/>
                <w:szCs w:val="24"/>
                <w:lang w:eastAsia="en-US"/>
              </w:rPr>
              <w:t>.</w:t>
            </w:r>
          </w:p>
          <w:p>
            <w:pPr>
              <w:pStyle w:val="Normal"/>
              <w:widowControl w:val="false"/>
              <w:ind w:firstLine="460"/>
              <w:jc w:val="both"/>
              <w:rPr>
                <w:rFonts w:eastAsia="Calibri" w:eastAsiaTheme="minorHAnsi"/>
                <w:sz w:val="24"/>
                <w:szCs w:val="24"/>
                <w:lang w:eastAsia="en-US"/>
              </w:rPr>
            </w:pPr>
            <w:r>
              <w:rPr>
                <w:rFonts w:eastAsia="Calibri" w:eastAsiaTheme="minorHAnsi"/>
                <w:sz w:val="24"/>
                <w:szCs w:val="24"/>
                <w:lang w:eastAsia="en-US"/>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pStyle w:val="Normal"/>
              <w:widowControl w:val="false"/>
              <w:ind w:firstLine="460"/>
              <w:jc w:val="both"/>
              <w:rPr>
                <w:rFonts w:eastAsia="Calibri" w:eastAsiaTheme="minorHAnsi"/>
                <w:sz w:val="24"/>
                <w:szCs w:val="24"/>
                <w:lang w:eastAsia="en-US"/>
              </w:rPr>
            </w:pPr>
            <w:r>
              <w:rPr>
                <w:rFonts w:eastAsia="Calibri" w:eastAsiaTheme="minorHAnsi"/>
                <w:sz w:val="24"/>
                <w:szCs w:val="24"/>
                <w:lang w:eastAsia="en-US"/>
              </w:rPr>
              <w:t>Не установлено:</w:t>
            </w:r>
          </w:p>
          <w:p>
            <w:pPr>
              <w:pStyle w:val="Normal"/>
              <w:widowControl w:val="false"/>
              <w:ind w:firstLine="460"/>
              <w:jc w:val="both"/>
              <w:rPr>
                <w:rFonts w:eastAsia="Calibri" w:eastAsiaTheme="minorHAnsi"/>
                <w:sz w:val="24"/>
                <w:szCs w:val="24"/>
                <w:lang w:eastAsia="en-US"/>
              </w:rPr>
            </w:pPr>
            <w:bookmarkStart w:id="11" w:name="_Hlk873482541"/>
            <w:bookmarkEnd w:id="11"/>
            <w:r>
              <w:rPr>
                <w:sz w:val="24"/>
                <w:szCs w:val="24"/>
                <w:lang w:eastAsia="en-US"/>
              </w:rPr>
              <w:t>8.</w:t>
            </w:r>
            <w:r>
              <w:rPr>
                <w:rFonts w:eastAsia="Calibri" w:eastAsiaTheme="minorHAnsi"/>
                <w:sz w:val="24"/>
                <w:szCs w:val="24"/>
                <w:lang w:eastAsia="en-US"/>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12" w:name="_Hlk87348383"/>
            <w:bookmarkEnd w:id="12"/>
          </w:p>
          <w:p>
            <w:pPr>
              <w:pStyle w:val="Normal"/>
              <w:widowControl w:val="false"/>
              <w:ind w:firstLine="460"/>
              <w:jc w:val="both"/>
              <w:rPr>
                <w:sz w:val="24"/>
                <w:szCs w:val="24"/>
                <w:lang w:eastAsia="en-US"/>
              </w:rPr>
            </w:pPr>
            <w:r>
              <w:rPr>
                <w:sz w:val="24"/>
                <w:szCs w:val="24"/>
                <w:lang w:eastAsia="en-US"/>
              </w:rPr>
              <w:t xml:space="preserve">9. </w:t>
            </w:r>
            <w:r>
              <w:rPr>
                <w:rFonts w:eastAsia="Calibri" w:eastAsiaTheme="minorHAnsi"/>
                <w:sz w:val="24"/>
                <w:szCs w:val="24"/>
                <w:lang w:eastAsia="en-US"/>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Pr>
                <w:sz w:val="24"/>
                <w:szCs w:val="24"/>
                <w:lang w:eastAsia="en-US"/>
              </w:rPr>
              <w:t>.</w:t>
            </w:r>
          </w:p>
          <w:p>
            <w:pPr>
              <w:pStyle w:val="Normal"/>
              <w:widowControl w:val="false"/>
              <w:ind w:firstLine="460"/>
              <w:jc w:val="both"/>
              <w:rPr>
                <w:rFonts w:eastAsia="Calibri" w:eastAsiaTheme="minorHAnsi"/>
                <w:sz w:val="24"/>
                <w:szCs w:val="24"/>
                <w:lang w:eastAsia="en-US"/>
              </w:rPr>
            </w:pPr>
            <w:bookmarkStart w:id="13" w:name="_Hlk87348793"/>
            <w:r>
              <w:rPr>
                <w:sz w:val="24"/>
                <w:szCs w:val="24"/>
                <w:lang w:eastAsia="en-US"/>
              </w:rPr>
              <w:t xml:space="preserve">10. </w:t>
            </w:r>
            <w:r>
              <w:rPr>
                <w:rFonts w:eastAsia="Calibri" w:eastAsiaTheme="minorHAnsi"/>
                <w:sz w:val="24"/>
                <w:szCs w:val="24"/>
                <w:lang w:eastAsia="en-US"/>
              </w:rPr>
              <w:t>отсутствие у участника закупки ограничений для участия в закупках, установленных законодательством Российской Федерации</w:t>
            </w:r>
            <w:bookmarkEnd w:id="13"/>
            <w:r>
              <w:rPr>
                <w:sz w:val="24"/>
                <w:szCs w:val="24"/>
                <w:lang w:eastAsia="en-US"/>
              </w:rPr>
              <w:t>.</w:t>
            </w:r>
          </w:p>
          <w:p>
            <w:pPr>
              <w:pStyle w:val="Normal"/>
              <w:widowControl w:val="false"/>
              <w:ind w:firstLine="460"/>
              <w:jc w:val="both"/>
              <w:rPr>
                <w:sz w:val="24"/>
                <w:szCs w:val="24"/>
                <w:lang w:eastAsia="en-US"/>
              </w:rPr>
            </w:pPr>
            <w:r>
              <w:rPr>
                <w:sz w:val="24"/>
                <w:szCs w:val="24"/>
                <w:lang w:eastAsia="en-US"/>
              </w:rPr>
            </w:r>
          </w:p>
          <w:p>
            <w:pPr>
              <w:pStyle w:val="Normal"/>
              <w:widowControl w:val="false"/>
              <w:ind w:firstLine="460"/>
              <w:jc w:val="both"/>
              <w:rPr>
                <w:sz w:val="24"/>
                <w:szCs w:val="24"/>
                <w:lang w:eastAsia="en-US"/>
              </w:rPr>
            </w:pPr>
            <w:r>
              <w:rPr>
                <w:sz w:val="24"/>
                <w:szCs w:val="24"/>
                <w:lang w:eastAsia="en-US"/>
              </w:rPr>
              <w:t>Соответствие участника закупки требованиям, установленным в п. п. 2 - 6, 8 - 10 настоящего раздела, подтверждается декларацией о соответствии участника требованиям</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Требования к участникам закупки в соответствии с ч. 1.1 ст. 31 Закона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firstLine="318"/>
              <w:rPr>
                <w:sz w:val="24"/>
                <w:szCs w:val="24"/>
                <w:lang w:eastAsia="en-US"/>
              </w:rPr>
            </w:pPr>
            <w:r>
              <w:rPr>
                <w:sz w:val="24"/>
                <w:szCs w:val="24"/>
                <w:lang w:eastAsia="en-US"/>
              </w:rPr>
              <w:t>Предъявляются.</w:t>
            </w:r>
          </w:p>
          <w:p>
            <w:pPr>
              <w:pStyle w:val="Normal"/>
              <w:widowControl w:val="false"/>
              <w:ind w:firstLine="318"/>
              <w:jc w:val="both"/>
              <w:rPr>
                <w:sz w:val="24"/>
                <w:szCs w:val="24"/>
                <w:lang w:eastAsia="en-US"/>
              </w:rPr>
            </w:pPr>
            <w:r>
              <w:rPr>
                <w:sz w:val="24"/>
                <w:szCs w:val="24"/>
                <w:lang w:eastAsia="en-US"/>
              </w:rPr>
              <w:t>В реестре недобросовестных поставщиков (подрядчиков, исполнителей), предусмотренном Закона № 44-ФЗ, должна отсутствовать информация об участнике закупки, в том числе информация о лицах, указанных в п. п. 2, 3 ч. 3 ст. 104 Закона № 44-ФЗ</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Дополнительные требования к участникам закупки в соответствии с ч. 2 ст. 31 Закона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установлены</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Дополнительное требование к участникам закупки в соответствии с ч. 2.1 ст. 31 Закона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установлено</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Банковское или казначейское сопровождение контракта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требуется</w:t>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об условиях контракта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before="0" w:after="0"/>
              <w:ind w:left="75" w:right="75" w:hanging="0"/>
              <w:jc w:val="left"/>
              <w:rPr>
                <w:rFonts w:cs="Times New Roman"/>
                <w:color w:val="000000"/>
                <w:sz w:val="24"/>
                <w:szCs w:val="24"/>
                <w:lang w:val="ru-RU"/>
              </w:rPr>
            </w:pPr>
            <w:r>
              <w:rPr>
                <w:rFonts w:eastAsia="Calibri" w:cs="Times New Roman"/>
                <w:color w:val="000000"/>
                <w:sz w:val="24"/>
                <w:szCs w:val="24"/>
                <w:lang w:val="ru-RU" w:eastAsia="en-US"/>
              </w:rPr>
              <w:t>Информация о количестве и месте доставки товара</w:t>
            </w:r>
          </w:p>
          <w:p>
            <w:pPr>
              <w:pStyle w:val="Normal"/>
              <w:widowControl w:val="false"/>
              <w:rPr>
                <w:sz w:val="24"/>
                <w:szCs w:val="24"/>
                <w:lang w:eastAsia="en-US"/>
              </w:rPr>
            </w:pPr>
            <w:r>
              <w:rPr>
                <w:sz w:val="24"/>
                <w:szCs w:val="24"/>
                <w:lang w:eastAsia="en-US"/>
              </w:rPr>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before="0" w:after="280"/>
              <w:jc w:val="left"/>
              <w:rPr/>
            </w:pPr>
            <w:r>
              <w:rPr>
                <w:rFonts w:cs="Times New Roman"/>
                <w:bCs/>
                <w:color w:val="000000" w:themeColor="text1"/>
                <w:sz w:val="24"/>
                <w:szCs w:val="24"/>
                <w:lang w:val="ru-RU" w:eastAsia="en-US"/>
              </w:rPr>
              <w:t>Согласно Приложению №3. Описание объекта закупки (Техническое задание)</w:t>
            </w:r>
          </w:p>
          <w:p>
            <w:pPr>
              <w:pStyle w:val="Normal"/>
              <w:widowControl w:val="false"/>
              <w:spacing w:lineRule="auto" w:line="240" w:before="280" w:after="0"/>
              <w:rPr>
                <w:sz w:val="24"/>
                <w:szCs w:val="24"/>
                <w:lang w:eastAsia="en-US"/>
              </w:rPr>
            </w:pPr>
            <w:r>
              <w:rPr>
                <w:rFonts w:eastAsia="Lucida Sans Unicode" w:cs="Times New Roman"/>
                <w:iCs/>
                <w:color w:val="000000"/>
                <w:kern w:val="2"/>
                <w:sz w:val="24"/>
                <w:szCs w:val="24"/>
                <w:shd w:fill="auto" w:val="clear"/>
                <w:lang w:val="ru-RU" w:eastAsia="en-US" w:bidi="hi-IN"/>
              </w:rPr>
              <w:t>Карачаево- Черкесская Республика, Урупский район, п. Пхия, ул. Центральная, 8</w:t>
            </w:r>
          </w:p>
          <w:p>
            <w:pPr>
              <w:pStyle w:val="Normal"/>
              <w:widowControl w:val="false"/>
              <w:rPr>
                <w:sz w:val="24"/>
                <w:szCs w:val="24"/>
                <w:lang w:eastAsia="en-US"/>
              </w:rPr>
            </w:pPr>
            <w:r>
              <w:rPr>
                <w:sz w:val="24"/>
                <w:szCs w:val="24"/>
                <w:lang w:eastAsia="en-US"/>
              </w:rPr>
            </w:r>
          </w:p>
          <w:p>
            <w:pPr>
              <w:pStyle w:val="Normal"/>
              <w:widowControl w:val="false"/>
              <w:rPr>
                <w:sz w:val="24"/>
                <w:szCs w:val="24"/>
                <w:lang w:eastAsia="en-US"/>
              </w:rPr>
            </w:pPr>
            <w:r>
              <w:rPr>
                <w:sz w:val="24"/>
                <w:szCs w:val="24"/>
                <w:lang w:eastAsia="en-US"/>
              </w:rPr>
              <w:t>См. Приложение 3</w:t>
            </w:r>
          </w:p>
          <w:p>
            <w:pPr>
              <w:pStyle w:val="Normal"/>
              <w:widowControl w:val="false"/>
              <w:rPr>
                <w:sz w:val="24"/>
                <w:szCs w:val="24"/>
                <w:lang w:eastAsia="en-US"/>
              </w:rPr>
            </w:pPr>
            <w:r>
              <w:rPr>
                <w:sz w:val="24"/>
                <w:szCs w:val="24"/>
                <w:lang w:eastAsia="en-US"/>
              </w:rPr>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bidi w:val="0"/>
              <w:spacing w:before="0" w:after="0"/>
              <w:ind w:left="75" w:right="75" w:hanging="0"/>
              <w:jc w:val="left"/>
              <w:rPr>
                <w:rFonts w:cs="Times New Roman"/>
                <w:color w:val="000000"/>
                <w:sz w:val="24"/>
                <w:szCs w:val="24"/>
                <w:lang w:val="ru-RU"/>
              </w:rPr>
            </w:pPr>
            <w:r>
              <w:rPr>
                <w:rFonts w:eastAsia="Calibri" w:cs="Times New Roman" w:eastAsiaTheme="minorHAnsi"/>
                <w:color w:val="000000"/>
                <w:sz w:val="24"/>
                <w:szCs w:val="24"/>
                <w:lang w:val="ru-RU" w:eastAsia="en-US"/>
              </w:rPr>
              <w:t>Сроки поставки товара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sz w:val="24"/>
                <w:szCs w:val="24"/>
                <w:lang w:eastAsia="en-US"/>
              </w:rPr>
            </w:pPr>
            <w:r>
              <w:rPr>
                <w:rFonts w:cs="Times New Roman"/>
                <w:color w:val="000000"/>
                <w:sz w:val="26"/>
                <w:szCs w:val="26"/>
                <w:lang w:val="ru-RU" w:eastAsia="en-US"/>
              </w:rPr>
              <w:t xml:space="preserve"> </w:t>
            </w:r>
            <w:r>
              <w:rPr>
                <w:rFonts w:cs="Times New Roman"/>
                <w:color w:val="000000"/>
                <w:sz w:val="26"/>
                <w:szCs w:val="26"/>
                <w:lang w:val="ru-RU" w:eastAsia="en-US"/>
              </w:rPr>
              <w:t>14</w:t>
            </w:r>
            <w:r>
              <w:rPr>
                <w:rFonts w:cs="Times New Roman"/>
                <w:bCs/>
                <w:i w:val="false"/>
                <w:iCs w:val="false"/>
                <w:color w:val="000000"/>
                <w:sz w:val="24"/>
                <w:szCs w:val="24"/>
                <w:lang w:val="ru-RU" w:eastAsia="en-US"/>
              </w:rPr>
              <w:t xml:space="preserve"> (четырнадцать) календарных дней с момента заключения контракта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Этапы исполнения контракта (сроки исполнения этапов)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sz w:val="24"/>
                <w:szCs w:val="24"/>
                <w:lang w:eastAsia="en-US"/>
              </w:rPr>
            </w:pPr>
            <w:r>
              <w:rPr>
                <w:rFonts w:cs="Times New Roman"/>
                <w:bCs/>
                <w:i w:val="false"/>
                <w:iCs w:val="false"/>
                <w:color w:val="000000"/>
                <w:sz w:val="24"/>
                <w:szCs w:val="24"/>
                <w:lang w:val="ru-RU" w:eastAsia="en-US"/>
              </w:rPr>
              <w:t>-</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 xml:space="preserve">Информация о возможности одностороннего отказа от исполнения контракта в соответствии со ст. 95 </w:t>
            </w:r>
            <w:r>
              <w:rPr>
                <w:rFonts w:eastAsia="Calibri" w:eastAsiaTheme="minorHAnsi"/>
                <w:sz w:val="24"/>
                <w:szCs w:val="24"/>
              </w:rPr>
              <w:t>Закона № 44-ФЗ</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Такая возможность допускается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b/>
                <w:sz w:val="24"/>
                <w:szCs w:val="24"/>
                <w:lang w:eastAsia="en-US"/>
              </w:rPr>
            </w:pPr>
            <w:r>
              <w:rPr>
                <w:b/>
                <w:sz w:val="24"/>
                <w:szCs w:val="24"/>
                <w:lang w:eastAsia="en-US"/>
              </w:rPr>
              <w:t>Сведения об обеспечении заявки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Не требуются</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14" w:name="_Hlk87348845"/>
            <w:bookmarkEnd w:id="14"/>
            <w:r>
              <w:rPr>
                <w:sz w:val="24"/>
                <w:szCs w:val="24"/>
                <w:lang w:eastAsia="en-US"/>
              </w:rPr>
              <w:t>Размер обеспечения заявки</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eastAsia="Calibri" w:eastAsiaTheme="minorHAnsi"/>
                <w:sz w:val="24"/>
                <w:szCs w:val="24"/>
                <w:lang w:eastAsia="en-US"/>
              </w:rPr>
            </w:pPr>
            <w:r>
              <w:rPr>
                <w:rFonts w:eastAsia="Calibri" w:eastAsiaTheme="minorHAnsi"/>
                <w:sz w:val="24"/>
                <w:szCs w:val="24"/>
                <w:lang w:eastAsia="en-US"/>
              </w:rPr>
              <w:t xml:space="preserve">16000,00 рублей </w:t>
            </w:r>
            <w:r>
              <w:rPr>
                <w:rFonts w:eastAsia="Calibri" w:eastAsiaTheme="minorHAnsi"/>
                <w:bCs/>
                <w:sz w:val="24"/>
                <w:szCs w:val="24"/>
                <w:lang w:eastAsia="en-US"/>
              </w:rPr>
              <w:t>(1% от начальной (максимальной) цены контракта).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15" w:name="_Hlk87349002"/>
            <w:bookmarkStart w:id="16" w:name="_Hlk873488451"/>
            <w:bookmarkEnd w:id="16"/>
            <w:r>
              <w:rPr>
                <w:sz w:val="24"/>
                <w:szCs w:val="24"/>
                <w:lang w:eastAsia="en-US"/>
              </w:rPr>
              <w:t>Порядок внесения денежных средств в качестве обеспечения заявки, условия независимой гарантии</w:t>
            </w:r>
            <w:bookmarkEnd w:id="15"/>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318"/>
              <w:rPr>
                <w:sz w:val="24"/>
                <w:szCs w:val="24"/>
                <w:lang w:eastAsia="en-US"/>
              </w:rPr>
            </w:pPr>
            <w:r>
              <w:rPr>
                <w:sz w:val="24"/>
                <w:szCs w:val="24"/>
                <w:lang w:eastAsia="en-US"/>
              </w:rPr>
              <w:t>-</w:t>
            </w:r>
            <w:r>
              <w:rPr>
                <w:rFonts w:cs="Times New Roman"/>
                <w:b/>
                <w:sz w:val="24"/>
                <w:szCs w:val="24"/>
                <w:lang w:eastAsia="en-US"/>
              </w:rPr>
              <w:t>Порядок внесения денежных средств в качестве обеспечения заявки на участие в закупке:</w:t>
            </w:r>
            <w:r>
              <w:rPr>
                <w:rFonts w:cs="Times New Roman"/>
                <w:bCs/>
                <w:sz w:val="24"/>
                <w:szCs w:val="24"/>
                <w:lang w:eastAsia="en-US"/>
              </w:rPr>
              <w:t xml:space="preserve"> согласно статье 44 Федерального закона №44-ФЗ.</w:t>
            </w:r>
          </w:p>
          <w:p>
            <w:pPr>
              <w:pStyle w:val="Style30"/>
              <w:widowControl w:val="false"/>
              <w:tabs>
                <w:tab w:val="clear" w:pos="708"/>
                <w:tab w:val="left" w:pos="0" w:leader="none"/>
                <w:tab w:val="left" w:pos="206" w:leader="none"/>
              </w:tabs>
              <w:spacing w:before="0" w:after="0"/>
              <w:ind w:left="0" w:hanging="0"/>
              <w:jc w:val="both"/>
              <w:rPr>
                <w:rFonts w:ascii="Times New Roman" w:hAnsi="Times New Roman"/>
                <w:sz w:val="24"/>
                <w:szCs w:val="24"/>
              </w:rPr>
            </w:pPr>
            <w:r>
              <w:rPr>
                <w:rFonts w:cs="Times New Roman" w:ascii="Times New Roman" w:hAnsi="Times New Roman"/>
                <w:bCs/>
                <w:sz w:val="24"/>
                <w:szCs w:val="24"/>
              </w:rPr>
              <w:t>Предприятия уголовно-исполнительной системы, организации инвалидов, предусмотренные частью 2 статьи 29 Федерального закона №44-ФЗ, предоставляют обеспечение заявки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pPr>
              <w:pStyle w:val="Style30"/>
              <w:widowControl w:val="false"/>
              <w:tabs>
                <w:tab w:val="clear" w:pos="708"/>
                <w:tab w:val="left" w:pos="0" w:leader="none"/>
                <w:tab w:val="left" w:pos="206" w:leader="none"/>
              </w:tabs>
              <w:spacing w:before="0" w:after="0"/>
              <w:ind w:left="0" w:hanging="0"/>
              <w:jc w:val="both"/>
              <w:rPr>
                <w:rFonts w:ascii="Times New Roman" w:hAnsi="Times New Roman"/>
                <w:sz w:val="24"/>
                <w:szCs w:val="24"/>
              </w:rPr>
            </w:pPr>
            <w:r>
              <w:rPr>
                <w:rFonts w:cs="Times New Roman" w:ascii="Times New Roman" w:hAnsi="Times New Roman"/>
                <w:bCs/>
                <w:sz w:val="24"/>
                <w:szCs w:val="24"/>
              </w:rPr>
              <w:t>Обеспечение заявки на участие в закупке может предоставляться участником закупки в виде денежных средств или независимой гарантии, предусмотренной статьей 45 Федерального закона №44-ФЗ.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pPr>
              <w:pStyle w:val="Style30"/>
              <w:widowControl w:val="false"/>
              <w:tabs>
                <w:tab w:val="clear" w:pos="708"/>
                <w:tab w:val="left" w:pos="0" w:leader="none"/>
                <w:tab w:val="left" w:pos="206" w:leader="none"/>
              </w:tabs>
              <w:spacing w:before="0" w:after="0"/>
              <w:ind w:left="0" w:hanging="0"/>
              <w:jc w:val="both"/>
              <w:rPr>
                <w:rFonts w:ascii="Times New Roman" w:hAnsi="Times New Roman"/>
                <w:sz w:val="24"/>
                <w:szCs w:val="24"/>
              </w:rPr>
            </w:pPr>
            <w:r>
              <w:rPr>
                <w:rFonts w:cs="Times New Roman" w:ascii="Times New Roman" w:hAnsi="Times New Roman"/>
                <w:bCs/>
                <w:sz w:val="24"/>
                <w:szCs w:val="24"/>
              </w:rPr>
              <w:t>При проведении электронных процедур:</w:t>
            </w:r>
          </w:p>
          <w:p>
            <w:pPr>
              <w:pStyle w:val="Style30"/>
              <w:widowControl w:val="false"/>
              <w:tabs>
                <w:tab w:val="clear" w:pos="708"/>
                <w:tab w:val="left" w:pos="0" w:leader="none"/>
                <w:tab w:val="left" w:pos="206" w:leader="none"/>
              </w:tabs>
              <w:spacing w:before="0" w:after="0"/>
              <w:ind w:left="0" w:hanging="0"/>
              <w:jc w:val="both"/>
              <w:rPr>
                <w:rFonts w:ascii="Times New Roman" w:hAnsi="Times New Roman"/>
                <w:sz w:val="24"/>
                <w:szCs w:val="24"/>
              </w:rPr>
            </w:pPr>
            <w:r>
              <w:rPr>
                <w:rFonts w:cs="Times New Roman" w:ascii="Times New Roman" w:hAnsi="Times New Roman"/>
                <w:bCs/>
                <w:sz w:val="24"/>
                <w:szCs w:val="24"/>
              </w:rPr>
              <w:t>1) обеспечение заявки на участие в закупке предоставляется одним из следующих способов:</w:t>
            </w:r>
          </w:p>
          <w:p>
            <w:pPr>
              <w:pStyle w:val="Style30"/>
              <w:widowControl w:val="false"/>
              <w:tabs>
                <w:tab w:val="clear" w:pos="708"/>
                <w:tab w:val="left" w:pos="0" w:leader="none"/>
                <w:tab w:val="left" w:pos="206" w:leader="none"/>
              </w:tabs>
              <w:spacing w:before="0" w:after="0"/>
              <w:ind w:left="0" w:hanging="0"/>
              <w:jc w:val="both"/>
              <w:rPr>
                <w:rFonts w:ascii="Times New Roman" w:hAnsi="Times New Roman"/>
                <w:sz w:val="24"/>
                <w:szCs w:val="24"/>
              </w:rPr>
            </w:pPr>
            <w:r>
              <w:rPr>
                <w:rFonts w:cs="Times New Roman" w:ascii="Times New Roman" w:hAnsi="Times New Roman"/>
                <w:bCs/>
                <w:sz w:val="24"/>
                <w:szCs w:val="24"/>
              </w:rPr>
              <w:t>а) путем блокирования денежных средств на банковском счете, открытом таким участником в банке, включенном в перечень, утвержденный Правительством Российской Федерации (далее - специальный счет), для их перевода в случаях, предусмотренных настоящей статьей, на счет, на котором в соответствии с законодательством Российской Федерации учитываются операции со средствами, поступающими заказчику, или в соответствующий бюджет бюджетной системы Российской Федерации.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pPr>
              <w:pStyle w:val="Style30"/>
              <w:widowControl w:val="false"/>
              <w:tabs>
                <w:tab w:val="clear" w:pos="708"/>
                <w:tab w:val="left" w:pos="0" w:leader="none"/>
                <w:tab w:val="left" w:pos="206" w:leader="none"/>
              </w:tabs>
              <w:spacing w:before="0" w:after="0"/>
              <w:ind w:left="0" w:hanging="0"/>
              <w:jc w:val="both"/>
              <w:rPr>
                <w:rFonts w:ascii="Times New Roman" w:hAnsi="Times New Roman"/>
                <w:sz w:val="24"/>
                <w:szCs w:val="24"/>
              </w:rPr>
            </w:pPr>
            <w:r>
              <w:rPr>
                <w:rFonts w:cs="Times New Roman" w:ascii="Times New Roman" w:hAnsi="Times New Roman"/>
                <w:bCs/>
                <w:sz w:val="24"/>
                <w:szCs w:val="24"/>
              </w:rPr>
              <w:t>б) путем предоставления независимой гарантии, соответствующей требованиям статьи 45 Федерального закона №44-ФЗ;</w:t>
            </w:r>
          </w:p>
          <w:p>
            <w:pPr>
              <w:pStyle w:val="Style30"/>
              <w:widowControl w:val="false"/>
              <w:tabs>
                <w:tab w:val="clear" w:pos="708"/>
                <w:tab w:val="left" w:pos="0" w:leader="none"/>
                <w:tab w:val="left" w:pos="206" w:leader="none"/>
              </w:tabs>
              <w:spacing w:before="0" w:after="0"/>
              <w:ind w:left="0" w:hanging="0"/>
              <w:jc w:val="both"/>
              <w:rPr>
                <w:rFonts w:ascii="Times New Roman" w:hAnsi="Times New Roman"/>
                <w:sz w:val="24"/>
                <w:szCs w:val="24"/>
              </w:rPr>
            </w:pPr>
            <w:r>
              <w:rPr>
                <w:rFonts w:cs="Times New Roman" w:ascii="Times New Roman" w:hAnsi="Times New Roman"/>
                <w:bCs/>
                <w:sz w:val="24"/>
                <w:szCs w:val="24"/>
              </w:rP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pPr>
              <w:pStyle w:val="Style30"/>
              <w:widowControl w:val="false"/>
              <w:tabs>
                <w:tab w:val="clear" w:pos="708"/>
                <w:tab w:val="left" w:pos="0" w:leader="none"/>
                <w:tab w:val="left" w:pos="206" w:leader="none"/>
              </w:tabs>
              <w:spacing w:before="0" w:after="0"/>
              <w:ind w:left="0" w:hanging="0"/>
              <w:jc w:val="both"/>
              <w:rPr>
                <w:rFonts w:ascii="Times New Roman" w:hAnsi="Times New Roman"/>
                <w:sz w:val="24"/>
                <w:szCs w:val="24"/>
              </w:rPr>
            </w:pPr>
            <w:r>
              <w:rPr>
                <w:rFonts w:cs="Times New Roman" w:ascii="Times New Roman" w:hAnsi="Times New Roman"/>
                <w:bCs/>
                <w:sz w:val="24"/>
                <w:szCs w:val="24"/>
              </w:rPr>
              <w:t>3) в случае предоставления обеспечения заявки на участие в закупке в виде денежных средств:</w:t>
            </w:r>
          </w:p>
          <w:p>
            <w:pPr>
              <w:pStyle w:val="Style30"/>
              <w:widowControl w:val="false"/>
              <w:tabs>
                <w:tab w:val="clear" w:pos="708"/>
                <w:tab w:val="left" w:pos="0" w:leader="none"/>
                <w:tab w:val="left" w:pos="206" w:leader="none"/>
              </w:tabs>
              <w:spacing w:before="0" w:after="0"/>
              <w:ind w:left="0" w:hanging="0"/>
              <w:jc w:val="both"/>
              <w:rPr>
                <w:rFonts w:ascii="Times New Roman" w:hAnsi="Times New Roman"/>
                <w:sz w:val="24"/>
                <w:szCs w:val="24"/>
              </w:rPr>
            </w:pPr>
            <w:r>
              <w:rPr>
                <w:rFonts w:cs="Times New Roman" w:ascii="Times New Roman" w:hAnsi="Times New Roman"/>
                <w:bCs/>
                <w:sz w:val="24"/>
                <w:szCs w:val="24"/>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pPr>
              <w:pStyle w:val="Style30"/>
              <w:widowControl w:val="false"/>
              <w:tabs>
                <w:tab w:val="clear" w:pos="708"/>
                <w:tab w:val="left" w:pos="0" w:leader="none"/>
                <w:tab w:val="left" w:pos="206" w:leader="none"/>
              </w:tabs>
              <w:spacing w:before="0" w:after="0"/>
              <w:ind w:left="0" w:hanging="0"/>
              <w:jc w:val="both"/>
              <w:rPr>
                <w:rFonts w:ascii="Times New Roman" w:hAnsi="Times New Roman"/>
                <w:sz w:val="24"/>
                <w:szCs w:val="24"/>
              </w:rPr>
            </w:pPr>
            <w:r>
              <w:rPr>
                <w:rFonts w:cs="Times New Roman" w:ascii="Times New Roman" w:hAnsi="Times New Roman"/>
                <w:bCs/>
                <w:sz w:val="24"/>
                <w:szCs w:val="24"/>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pPr>
              <w:pStyle w:val="Style30"/>
              <w:widowControl w:val="false"/>
              <w:tabs>
                <w:tab w:val="clear" w:pos="708"/>
                <w:tab w:val="left" w:pos="0" w:leader="none"/>
                <w:tab w:val="left" w:pos="206" w:leader="none"/>
              </w:tabs>
              <w:spacing w:before="0" w:after="0"/>
              <w:ind w:left="0" w:hanging="0"/>
              <w:jc w:val="both"/>
              <w:rPr>
                <w:rFonts w:ascii="Times New Roman" w:hAnsi="Times New Roman"/>
                <w:sz w:val="24"/>
                <w:szCs w:val="24"/>
              </w:rPr>
            </w:pPr>
            <w:r>
              <w:rPr>
                <w:rFonts w:cs="Times New Roman" w:ascii="Times New Roman" w:hAnsi="Times New Roman"/>
                <w:bCs/>
                <w:sz w:val="24"/>
                <w:szCs w:val="24"/>
              </w:rPr>
              <w:t>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pPr>
              <w:pStyle w:val="Style30"/>
              <w:widowControl w:val="false"/>
              <w:tabs>
                <w:tab w:val="clear" w:pos="708"/>
                <w:tab w:val="left" w:pos="0" w:leader="none"/>
                <w:tab w:val="left" w:pos="206" w:leader="none"/>
              </w:tabs>
              <w:spacing w:before="0" w:after="0"/>
              <w:ind w:left="0" w:hanging="0"/>
              <w:jc w:val="both"/>
              <w:rPr>
                <w:rFonts w:ascii="Times New Roman" w:hAnsi="Times New Roman"/>
                <w:sz w:val="24"/>
                <w:szCs w:val="24"/>
              </w:rPr>
            </w:pPr>
            <w:r>
              <w:rPr>
                <w:rFonts w:cs="Times New Roman" w:ascii="Times New Roman" w:hAnsi="Times New Roman"/>
                <w:bCs/>
                <w:sz w:val="24"/>
                <w:szCs w:val="24"/>
              </w:rP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"е" пункта 5 части 6 статьи 43 Федерального закона №44-ФЗ возврат заявки подавшему ее участнику закупки;</w:t>
            </w:r>
          </w:p>
          <w:p>
            <w:pPr>
              <w:pStyle w:val="Style30"/>
              <w:widowControl w:val="false"/>
              <w:tabs>
                <w:tab w:val="clear" w:pos="708"/>
                <w:tab w:val="left" w:pos="0" w:leader="none"/>
                <w:tab w:val="left" w:pos="206" w:leader="none"/>
              </w:tabs>
              <w:spacing w:before="0" w:after="0"/>
              <w:ind w:left="0" w:hanging="0"/>
              <w:jc w:val="both"/>
              <w:rPr>
                <w:rFonts w:ascii="Times New Roman" w:hAnsi="Times New Roman"/>
                <w:sz w:val="24"/>
                <w:szCs w:val="24"/>
              </w:rPr>
            </w:pPr>
            <w:r>
              <w:rPr>
                <w:rFonts w:cs="Times New Roman" w:ascii="Times New Roman" w:hAnsi="Times New Roman"/>
                <w:bCs/>
                <w:sz w:val="24"/>
                <w:szCs w:val="24"/>
              </w:rPr>
              <w:t>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подпунктом "ж" пункта 5 части 6 статьи 43 Федерального закона №44-ФЗ.</w:t>
            </w:r>
          </w:p>
          <w:p>
            <w:pPr>
              <w:pStyle w:val="Normal"/>
              <w:widowControl w:val="false"/>
              <w:spacing w:lineRule="auto" w:line="240" w:before="280" w:after="280"/>
              <w:rPr>
                <w:rFonts w:cs="Times New Roman"/>
                <w:color w:val="000000"/>
                <w:sz w:val="24"/>
                <w:szCs w:val="24"/>
                <w:lang w:val="ru-RU"/>
              </w:rPr>
            </w:pPr>
            <w:r>
              <w:rPr>
                <w:rFonts w:cs="Times New Roman"/>
                <w:color w:val="000000"/>
                <w:sz w:val="24"/>
                <w:szCs w:val="24"/>
                <w:lang w:val="ru-RU"/>
              </w:rPr>
              <w:t>Получатель: Администрация Урупского муниципального района</w:t>
            </w:r>
          </w:p>
          <w:p>
            <w:pPr>
              <w:pStyle w:val="Normal"/>
              <w:widowControl w:val="false"/>
              <w:tabs>
                <w:tab w:val="clear" w:pos="708"/>
                <w:tab w:val="center" w:pos="7689" w:leader="none"/>
              </w:tabs>
              <w:spacing w:before="0" w:after="0"/>
              <w:rPr>
                <w:bCs/>
                <w:iCs/>
                <w:sz w:val="24"/>
                <w:szCs w:val="24"/>
              </w:rPr>
            </w:pPr>
            <w:r>
              <w:rPr>
                <w:bCs/>
                <w:iCs/>
                <w:sz w:val="24"/>
                <w:szCs w:val="24"/>
              </w:rPr>
              <w:t>ИНН 0912000569</w:t>
            </w:r>
          </w:p>
          <w:p>
            <w:pPr>
              <w:pStyle w:val="Normal"/>
              <w:widowControl w:val="false"/>
              <w:tabs>
                <w:tab w:val="clear" w:pos="708"/>
                <w:tab w:val="center" w:pos="7689" w:leader="none"/>
              </w:tabs>
              <w:spacing w:before="0" w:after="0"/>
              <w:jc w:val="both"/>
              <w:rPr>
                <w:bCs/>
                <w:iCs/>
                <w:sz w:val="24"/>
                <w:szCs w:val="24"/>
                <w:lang w:val="ru-RU"/>
              </w:rPr>
            </w:pPr>
            <w:r>
              <w:rPr>
                <w:bCs/>
                <w:iCs/>
                <w:sz w:val="24"/>
                <w:szCs w:val="24"/>
                <w:lang w:val="ru-RU"/>
              </w:rPr>
              <w:t>КПП 091201001</w:t>
            </w:r>
          </w:p>
          <w:p>
            <w:pPr>
              <w:pStyle w:val="Normal"/>
              <w:widowControl w:val="false"/>
              <w:spacing w:before="280" w:after="0"/>
              <w:rPr>
                <w:rFonts w:cs="Times New Roman"/>
                <w:color w:val="000000"/>
                <w:sz w:val="24"/>
                <w:szCs w:val="24"/>
                <w:lang w:val="ru-RU"/>
              </w:rPr>
            </w:pPr>
            <w:r>
              <w:rPr>
                <w:rFonts w:cs="Times New Roman"/>
                <w:color w:val="000000"/>
                <w:sz w:val="24"/>
                <w:szCs w:val="24"/>
                <w:lang w:val="ru-RU"/>
              </w:rPr>
              <w:t>Л/сч 05793002890 в УФК по КЧР 7912</w:t>
            </w:r>
          </w:p>
          <w:p>
            <w:pPr>
              <w:pStyle w:val="Normal"/>
              <w:widowControl w:val="false"/>
              <w:shd w:val="clear" w:fill="FFFFFF"/>
              <w:rPr>
                <w:color w:val="000000"/>
                <w:sz w:val="24"/>
                <w:szCs w:val="24"/>
                <w:lang w:val="ru-RU"/>
              </w:rPr>
            </w:pPr>
            <w:r>
              <w:rPr>
                <w:color w:val="000000"/>
                <w:sz w:val="24"/>
                <w:szCs w:val="24"/>
                <w:lang w:val="ru-RU"/>
              </w:rPr>
              <w:t>Е. к.р.с. 03232643916300007900</w:t>
            </w:r>
          </w:p>
          <w:p>
            <w:pPr>
              <w:pStyle w:val="Normal"/>
              <w:widowControl w:val="false"/>
              <w:shd w:val="clear" w:fill="FFFFFF"/>
              <w:rPr>
                <w:color w:val="000000"/>
                <w:sz w:val="24"/>
                <w:szCs w:val="24"/>
                <w:lang w:val="ru-RU"/>
              </w:rPr>
            </w:pPr>
            <w:r>
              <w:rPr>
                <w:color w:val="000000"/>
                <w:sz w:val="24"/>
                <w:szCs w:val="24"/>
                <w:lang w:val="ru-RU"/>
              </w:rPr>
              <w:t>БИК ТОФК 019133001</w:t>
            </w:r>
          </w:p>
          <w:p>
            <w:pPr>
              <w:pStyle w:val="Normal"/>
              <w:widowControl w:val="false"/>
              <w:shd w:val="clear" w:fill="FFFFFF"/>
              <w:rPr>
                <w:color w:val="000000"/>
                <w:sz w:val="24"/>
                <w:szCs w:val="24"/>
                <w:lang w:val="ru-RU"/>
              </w:rPr>
            </w:pPr>
            <w:r>
              <w:rPr>
                <w:color w:val="000000"/>
                <w:sz w:val="24"/>
                <w:szCs w:val="24"/>
                <w:lang w:val="ru-RU"/>
              </w:rPr>
              <w:t>к\с 40102810245370000078</w:t>
            </w:r>
          </w:p>
          <w:p>
            <w:pPr>
              <w:pStyle w:val="Normal"/>
              <w:widowControl w:val="false"/>
              <w:shd w:val="clear" w:fill="FFFFFF"/>
              <w:ind w:left="0" w:right="0" w:hanging="0"/>
              <w:jc w:val="both"/>
              <w:rPr/>
            </w:pPr>
            <w:r>
              <w:rPr>
                <w:bCs/>
                <w:i/>
                <w:sz w:val="24"/>
                <w:szCs w:val="24"/>
                <w:lang w:val="ru-RU"/>
              </w:rPr>
              <w:t>Отделение - НБ Карачаево-Черкесская Республика //УФК по Карачаево- Черкесской Республике г. Черкесск</w:t>
            </w:r>
          </w:p>
          <w:p>
            <w:pPr>
              <w:pStyle w:val="Normal"/>
              <w:widowControl w:val="false"/>
              <w:shd w:val="clear" w:color="auto" w:fill="FFFFFF"/>
              <w:tabs>
                <w:tab w:val="clear" w:pos="708"/>
                <w:tab w:val="left" w:pos="-180" w:leader="none"/>
              </w:tabs>
              <w:spacing w:lineRule="auto" w:line="240" w:before="0" w:after="0"/>
              <w:ind w:left="0" w:right="0" w:hanging="0"/>
              <w:jc w:val="both"/>
              <w:rPr>
                <w:rFonts w:cs="Times New Roman"/>
                <w:b/>
                <w:bCs/>
                <w:i/>
                <w:i/>
                <w:color w:val="000000"/>
                <w:sz w:val="24"/>
                <w:szCs w:val="24"/>
                <w:lang w:val="ru-RU"/>
              </w:rPr>
            </w:pPr>
            <w:r>
              <w:rPr>
                <w:rFonts w:cs="Times New Roman"/>
                <w:b/>
                <w:bCs/>
                <w:i/>
                <w:color w:val="000000"/>
                <w:sz w:val="24"/>
                <w:szCs w:val="24"/>
                <w:lang w:val="ru-RU"/>
              </w:rPr>
              <w:t>«Обеспечение исполнения контракта № _______»</w:t>
            </w:r>
          </w:p>
          <w:p>
            <w:pPr>
              <w:pStyle w:val="ConsNormal"/>
              <w:widowControl w:val="false"/>
              <w:ind w:right="0" w:hanging="0"/>
              <w:jc w:val="both"/>
              <w:rPr>
                <w:sz w:val="24"/>
                <w:szCs w:val="24"/>
                <w:lang w:eastAsia="en-US"/>
              </w:rPr>
            </w:pPr>
            <w:r>
              <w:rPr>
                <w:rFonts w:cs="Times New Roman" w:ascii="Times New Roman" w:hAnsi="Times New Roman"/>
                <w:bCs/>
                <w:sz w:val="24"/>
                <w:szCs w:val="24"/>
              </w:rPr>
              <w:t>В назначении платежа указывается назначение обеспечения, наименование предмета закупки и номер извещения.</w:t>
            </w:r>
          </w:p>
          <w:p>
            <w:pPr>
              <w:pStyle w:val="Normal"/>
              <w:widowControl w:val="false"/>
              <w:ind w:firstLine="318"/>
              <w:rPr>
                <w:sz w:val="24"/>
                <w:szCs w:val="24"/>
                <w:lang w:eastAsia="en-US"/>
              </w:rPr>
            </w:pPr>
            <w:r>
              <w:rPr>
                <w:sz w:val="24"/>
                <w:szCs w:val="24"/>
                <w:lang w:eastAsia="en-US"/>
              </w:rPr>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об обеспечении исполнения контракта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17" w:name="_Hlk87349191"/>
            <w:r>
              <w:rPr>
                <w:sz w:val="24"/>
                <w:szCs w:val="24"/>
                <w:lang w:eastAsia="en-US"/>
              </w:rPr>
              <w:t>Размер обеспечения исполнения контракта</w:t>
            </w:r>
            <w:bookmarkEnd w:id="17"/>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bidi w:val="0"/>
              <w:spacing w:before="0" w:after="0"/>
              <w:ind w:left="113" w:right="113" w:hanging="0"/>
              <w:jc w:val="both"/>
              <w:rPr>
                <w:sz w:val="24"/>
                <w:szCs w:val="24"/>
              </w:rPr>
            </w:pPr>
            <w:r>
              <w:rPr>
                <w:rFonts w:cs="Times New Roman"/>
                <w:bCs/>
                <w:color w:val="000000"/>
                <w:sz w:val="24"/>
                <w:szCs w:val="24"/>
              </w:rPr>
              <w:t>16000,00</w:t>
            </w:r>
            <w:r>
              <w:rPr>
                <w:bCs/>
                <w:color w:val="000000"/>
                <w:sz w:val="24"/>
                <w:szCs w:val="24"/>
              </w:rPr>
              <w:t xml:space="preserve"> рублей</w:t>
            </w:r>
            <w:r>
              <w:rPr>
                <w:bCs/>
                <w:sz w:val="24"/>
                <w:szCs w:val="24"/>
              </w:rPr>
              <w:t xml:space="preserve"> (1% от начальной (максимальной) цены контракта).</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18" w:name="_Hlk87349299"/>
            <w:r>
              <w:rPr>
                <w:sz w:val="24"/>
                <w:szCs w:val="24"/>
                <w:lang w:eastAsia="en-US"/>
              </w:rPr>
              <w:t>Порядок предоставления обеспечения исполнения контракта</w:t>
            </w:r>
            <w:bookmarkEnd w:id="18"/>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460"/>
              <w:rPr>
                <w:sz w:val="24"/>
                <w:szCs w:val="24"/>
                <w:lang w:eastAsia="en-US"/>
              </w:rPr>
            </w:pPr>
            <w:bookmarkStart w:id="19" w:name="_Hlk87349334"/>
            <w:r>
              <w:rPr>
                <w:sz w:val="24"/>
                <w:szCs w:val="24"/>
                <w:lang w:eastAsia="en-US"/>
              </w:rPr>
              <w:t>Обеспечение исполнения контракта предоставляется в виде независимой гарантии, соответствующей требованиям ст. ст. 45, 96 Закона № 44-ФЗ, или внесением денежных средств на указанный заказчиком счет.</w:t>
            </w:r>
            <w:bookmarkEnd w:id="19"/>
          </w:p>
          <w:p>
            <w:pPr>
              <w:pStyle w:val="Normal"/>
              <w:widowControl w:val="false"/>
              <w:ind w:firstLine="460"/>
              <w:rPr>
                <w:sz w:val="24"/>
                <w:szCs w:val="24"/>
                <w:lang w:eastAsia="en-US"/>
              </w:rPr>
            </w:pPr>
            <w:r>
              <w:rPr>
                <w:sz w:val="24"/>
                <w:szCs w:val="24"/>
                <w:lang w:eastAsia="en-US"/>
              </w:rPr>
              <w:t>Способ обеспечения исполнения контракта определяется участником закупки самостоятельно. Контракт заключается после предоставления участником закупки обеспечения исполнения контракта.</w:t>
            </w:r>
          </w:p>
          <w:p>
            <w:pPr>
              <w:pStyle w:val="Normal"/>
              <w:widowControl w:val="false"/>
              <w:ind w:firstLine="458"/>
              <w:jc w:val="both"/>
              <w:rPr>
                <w:sz w:val="24"/>
                <w:szCs w:val="24"/>
              </w:rPr>
            </w:pPr>
            <w:r>
              <w:rPr>
                <w:sz w:val="24"/>
                <w:szCs w:val="24"/>
              </w:rPr>
              <w:t>В случае если при проведении электронного аукциона,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установленного с учетом положений статьи 37 Закона № 44-ФЗ.</w:t>
            </w:r>
          </w:p>
          <w:p>
            <w:pPr>
              <w:pStyle w:val="Normal"/>
              <w:widowControl w:val="false"/>
              <w:ind w:firstLine="540"/>
              <w:jc w:val="both"/>
              <w:rPr>
                <w:sz w:val="24"/>
                <w:szCs w:val="24"/>
              </w:rPr>
            </w:pPr>
            <w:r>
              <w:rPr>
                <w:sz w:val="24"/>
                <w:szCs w:val="24"/>
              </w:rPr>
              <w:t xml:space="preserve">Предоставление обеспечения исполнения контракта, обеспечения гарантийных обязательств, </w:t>
            </w:r>
            <w:r>
              <w:rPr>
                <w:color w:val="22272F"/>
                <w:sz w:val="24"/>
                <w:szCs w:val="24"/>
                <w:shd w:fill="FFFFFF" w:val="clear"/>
              </w:rPr>
              <w:t>в том числе с учетом положений </w:t>
            </w:r>
            <w:r>
              <w:rPr>
                <w:sz w:val="24"/>
                <w:szCs w:val="24"/>
                <w:shd w:fill="FFFFFF" w:val="clear"/>
              </w:rPr>
              <w:t>статьи 37</w:t>
            </w:r>
            <w:r>
              <w:rPr>
                <w:color w:val="22272F"/>
                <w:sz w:val="24"/>
                <w:szCs w:val="24"/>
                <w:shd w:fill="FFFFFF" w:val="clear"/>
              </w:rPr>
              <w:t> </w:t>
            </w:r>
            <w:r>
              <w:rPr>
                <w:sz w:val="24"/>
                <w:szCs w:val="24"/>
              </w:rPr>
              <w:t>Закона № 44-ФЗ, не требуется в случае:</w:t>
            </w:r>
          </w:p>
          <w:p>
            <w:pPr>
              <w:pStyle w:val="Normal"/>
              <w:widowControl w:val="false"/>
              <w:ind w:firstLine="459"/>
              <w:jc w:val="both"/>
              <w:rPr>
                <w:sz w:val="24"/>
                <w:szCs w:val="24"/>
              </w:rPr>
            </w:pPr>
            <w:r>
              <w:rPr>
                <w:sz w:val="24"/>
                <w:szCs w:val="24"/>
              </w:rPr>
              <w:t>1) заключения контракта с участником закупки, который является казенным учреждением;</w:t>
            </w:r>
          </w:p>
          <w:p>
            <w:pPr>
              <w:pStyle w:val="Normal"/>
              <w:widowControl w:val="false"/>
              <w:ind w:firstLine="459"/>
              <w:jc w:val="both"/>
              <w:rPr>
                <w:sz w:val="24"/>
                <w:szCs w:val="24"/>
              </w:rPr>
            </w:pPr>
            <w:r>
              <w:rPr>
                <w:sz w:val="24"/>
                <w:szCs w:val="24"/>
              </w:rPr>
              <w:t>2) осуществления закупки услуги по предоставлению кредита;</w:t>
            </w:r>
          </w:p>
          <w:p>
            <w:pPr>
              <w:pStyle w:val="Normal"/>
              <w:widowControl w:val="false"/>
              <w:ind w:firstLine="459"/>
              <w:jc w:val="both"/>
              <w:rPr>
                <w:sz w:val="24"/>
                <w:szCs w:val="24"/>
              </w:rPr>
            </w:pPr>
            <w:r>
              <w:rPr>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pPr>
              <w:pStyle w:val="Normal"/>
              <w:widowControl w:val="false"/>
              <w:ind w:firstLine="459"/>
              <w:jc w:val="both"/>
              <w:rPr>
                <w:sz w:val="24"/>
                <w:szCs w:val="24"/>
              </w:rPr>
            </w:pPr>
            <w:r>
              <w:rPr>
                <w:sz w:val="24"/>
                <w:szCs w:val="24"/>
              </w:rPr>
            </w:r>
          </w:p>
          <w:p>
            <w:pPr>
              <w:pStyle w:val="Normal"/>
              <w:widowControl w:val="false"/>
              <w:ind w:firstLine="459"/>
              <w:jc w:val="both"/>
              <w:rPr>
                <w:sz w:val="24"/>
                <w:szCs w:val="24"/>
              </w:rPr>
            </w:pPr>
            <w:r>
              <w:rPr>
                <w:sz w:val="24"/>
                <w:szCs w:val="24"/>
              </w:rPr>
              <w:t>Предоставление обеспечения исполнения контракта, обеспечения гарантийных обязательств не требуется в случае, установленном частью 8.1. статьи 96 Закона № 44-ФЗ</w:t>
            </w:r>
          </w:p>
          <w:p>
            <w:pPr>
              <w:pStyle w:val="Normal"/>
              <w:widowControl w:val="false"/>
              <w:ind w:firstLine="454"/>
              <w:jc w:val="both"/>
              <w:rPr>
                <w:sz w:val="24"/>
                <w:szCs w:val="24"/>
                <w:lang w:eastAsia="en-US"/>
              </w:rPr>
            </w:pPr>
            <w:r>
              <w:rPr>
                <w:sz w:val="24"/>
                <w:szCs w:val="24"/>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в соответствии с положениями частей 7-7.3 статьи 96 Закона № 44-ФЗ.</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Платежные реквизиты для обеспечения исполнения контракта.</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280" w:after="280"/>
              <w:rPr>
                <w:rFonts w:cs="Times New Roman"/>
                <w:color w:val="000000"/>
                <w:sz w:val="24"/>
                <w:szCs w:val="24"/>
                <w:lang w:val="ru-RU"/>
              </w:rPr>
            </w:pPr>
            <w:r>
              <w:rPr>
                <w:rFonts w:cs="Times New Roman"/>
                <w:color w:val="000000"/>
                <w:sz w:val="24"/>
                <w:szCs w:val="24"/>
                <w:lang w:val="ru-RU"/>
              </w:rPr>
              <w:t>Получатель: Администрация Урупского муниципального района</w:t>
            </w:r>
          </w:p>
          <w:p>
            <w:pPr>
              <w:pStyle w:val="Normal"/>
              <w:widowControl w:val="false"/>
              <w:tabs>
                <w:tab w:val="clear" w:pos="708"/>
                <w:tab w:val="center" w:pos="7689" w:leader="none"/>
              </w:tabs>
              <w:spacing w:before="0" w:after="0"/>
              <w:rPr>
                <w:bCs/>
                <w:iCs/>
                <w:sz w:val="24"/>
                <w:szCs w:val="24"/>
              </w:rPr>
            </w:pPr>
            <w:r>
              <w:rPr>
                <w:bCs/>
                <w:iCs/>
                <w:sz w:val="24"/>
                <w:szCs w:val="24"/>
              </w:rPr>
              <w:t>ИНН 0912000569</w:t>
            </w:r>
          </w:p>
          <w:p>
            <w:pPr>
              <w:pStyle w:val="Normal"/>
              <w:widowControl w:val="false"/>
              <w:tabs>
                <w:tab w:val="clear" w:pos="708"/>
                <w:tab w:val="center" w:pos="7689" w:leader="none"/>
              </w:tabs>
              <w:spacing w:before="0" w:after="0"/>
              <w:jc w:val="both"/>
              <w:rPr>
                <w:bCs/>
                <w:iCs/>
                <w:sz w:val="24"/>
                <w:szCs w:val="24"/>
                <w:lang w:val="ru-RU"/>
              </w:rPr>
            </w:pPr>
            <w:r>
              <w:rPr>
                <w:bCs/>
                <w:iCs/>
                <w:sz w:val="24"/>
                <w:szCs w:val="24"/>
                <w:lang w:val="ru-RU"/>
              </w:rPr>
              <w:t>КПП 091201001</w:t>
            </w:r>
          </w:p>
          <w:p>
            <w:pPr>
              <w:pStyle w:val="Normal"/>
              <w:widowControl w:val="false"/>
              <w:spacing w:before="280" w:after="0"/>
              <w:rPr>
                <w:rFonts w:cs="Times New Roman"/>
                <w:color w:val="000000"/>
                <w:sz w:val="24"/>
                <w:szCs w:val="24"/>
                <w:lang w:val="ru-RU"/>
              </w:rPr>
            </w:pPr>
            <w:r>
              <w:rPr>
                <w:rFonts w:cs="Times New Roman"/>
                <w:color w:val="000000"/>
                <w:sz w:val="24"/>
                <w:szCs w:val="24"/>
                <w:lang w:val="ru-RU"/>
              </w:rPr>
              <w:t>Л/сч 05793002890 в УФК по КЧР 7912</w:t>
            </w:r>
          </w:p>
          <w:p>
            <w:pPr>
              <w:pStyle w:val="Normal"/>
              <w:widowControl w:val="false"/>
              <w:shd w:val="clear" w:fill="FFFFFF"/>
              <w:rPr>
                <w:color w:val="000000"/>
                <w:sz w:val="24"/>
                <w:szCs w:val="24"/>
                <w:lang w:val="ru-RU"/>
              </w:rPr>
            </w:pPr>
            <w:r>
              <w:rPr>
                <w:color w:val="000000"/>
                <w:sz w:val="24"/>
                <w:szCs w:val="24"/>
                <w:lang w:val="ru-RU"/>
              </w:rPr>
              <w:t>Е. к.р.с. 03232643916300007900</w:t>
            </w:r>
          </w:p>
          <w:p>
            <w:pPr>
              <w:pStyle w:val="Normal"/>
              <w:widowControl w:val="false"/>
              <w:shd w:val="clear" w:fill="FFFFFF"/>
              <w:rPr>
                <w:color w:val="000000"/>
                <w:sz w:val="24"/>
                <w:szCs w:val="24"/>
                <w:lang w:val="ru-RU"/>
              </w:rPr>
            </w:pPr>
            <w:r>
              <w:rPr>
                <w:color w:val="000000"/>
                <w:sz w:val="24"/>
                <w:szCs w:val="24"/>
                <w:lang w:val="ru-RU"/>
              </w:rPr>
              <w:t>БИК ТОФК 019133001</w:t>
            </w:r>
          </w:p>
          <w:p>
            <w:pPr>
              <w:pStyle w:val="Normal"/>
              <w:widowControl w:val="false"/>
              <w:shd w:val="clear" w:fill="FFFFFF"/>
              <w:rPr>
                <w:color w:val="000000"/>
                <w:sz w:val="24"/>
                <w:szCs w:val="24"/>
                <w:lang w:val="ru-RU"/>
              </w:rPr>
            </w:pPr>
            <w:r>
              <w:rPr>
                <w:color w:val="000000"/>
                <w:sz w:val="24"/>
                <w:szCs w:val="24"/>
                <w:lang w:val="ru-RU"/>
              </w:rPr>
              <w:t>к\с 40102810245370000078</w:t>
            </w:r>
          </w:p>
          <w:p>
            <w:pPr>
              <w:pStyle w:val="Normal"/>
              <w:widowControl w:val="false"/>
              <w:shd w:val="clear" w:fill="FFFFFF"/>
              <w:ind w:left="0" w:right="0" w:hanging="0"/>
              <w:jc w:val="both"/>
              <w:rPr/>
            </w:pPr>
            <w:r>
              <w:rPr>
                <w:bCs/>
                <w:i/>
                <w:sz w:val="24"/>
                <w:szCs w:val="24"/>
                <w:lang w:val="ru-RU"/>
              </w:rPr>
              <w:t>Отделение - НБ Карачаево-Черкесская Республика //УФК по Карачаево- Черкесской Республике г. Черкесск</w:t>
            </w:r>
          </w:p>
          <w:p>
            <w:pPr>
              <w:pStyle w:val="Normal"/>
              <w:widowControl w:val="false"/>
              <w:shd w:val="clear" w:color="auto" w:fill="FFFFFF"/>
              <w:tabs>
                <w:tab w:val="clear" w:pos="708"/>
                <w:tab w:val="left" w:pos="-180" w:leader="none"/>
              </w:tabs>
              <w:spacing w:lineRule="auto" w:line="240" w:before="0" w:after="0"/>
              <w:ind w:left="0" w:right="0" w:hanging="0"/>
              <w:jc w:val="both"/>
              <w:rPr>
                <w:rFonts w:cs="Times New Roman"/>
                <w:b/>
                <w:bCs/>
                <w:i/>
                <w:i/>
                <w:color w:val="000000"/>
                <w:sz w:val="24"/>
                <w:szCs w:val="24"/>
                <w:lang w:val="ru-RU"/>
              </w:rPr>
            </w:pPr>
            <w:r>
              <w:rPr>
                <w:rFonts w:cs="Times New Roman"/>
                <w:b/>
                <w:bCs/>
                <w:i/>
                <w:color w:val="000000"/>
                <w:sz w:val="24"/>
                <w:szCs w:val="24"/>
                <w:lang w:val="ru-RU"/>
              </w:rPr>
              <w:t>«Обеспечение исполнения контракта № _______»</w:t>
            </w:r>
          </w:p>
          <w:p>
            <w:pPr>
              <w:pStyle w:val="ConsNormal"/>
              <w:widowControl w:val="false"/>
              <w:ind w:right="0" w:hanging="0"/>
              <w:jc w:val="both"/>
              <w:rPr>
                <w:sz w:val="24"/>
                <w:szCs w:val="24"/>
                <w:lang w:eastAsia="en-US"/>
              </w:rPr>
            </w:pPr>
            <w:r>
              <w:rPr>
                <w:rFonts w:cs="Times New Roman" w:ascii="Times New Roman" w:hAnsi="Times New Roman"/>
                <w:sz w:val="24"/>
                <w:szCs w:val="24"/>
              </w:rPr>
              <w:t>В назначении платежа указывается назначение обеспечения, наименование предмета закупки и номер извещения.</w:t>
            </w:r>
          </w:p>
        </w:tc>
      </w:tr>
      <w:tr>
        <w:trPr/>
        <w:tc>
          <w:tcPr>
            <w:tcW w:w="10694"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Сведения об обеспечении гарантийных обязательств</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b/>
                <w:sz w:val="24"/>
                <w:szCs w:val="24"/>
                <w:lang w:eastAsia="en-US"/>
              </w:rPr>
              <w:t>Обеспечение гарантийных обязательств</w:t>
            </w:r>
          </w:p>
          <w:p>
            <w:pPr>
              <w:pStyle w:val="Normal"/>
              <w:widowControl w:val="false"/>
              <w:rPr>
                <w:sz w:val="24"/>
                <w:szCs w:val="24"/>
                <w:lang w:eastAsia="en-US"/>
              </w:rPr>
            </w:pPr>
            <w:bookmarkStart w:id="20" w:name="_Hlk87349622"/>
            <w:r>
              <w:rPr>
                <w:sz w:val="24"/>
                <w:szCs w:val="24"/>
                <w:lang w:eastAsia="en-US"/>
              </w:rPr>
              <w:t>Размер обеспечения гарантийных обязательств</w:t>
            </w:r>
            <w:bookmarkEnd w:id="20"/>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suppressAutoHyphens w:val="true"/>
              <w:bidi w:val="0"/>
              <w:spacing w:before="0" w:after="0"/>
              <w:ind w:left="113" w:right="113" w:hanging="0"/>
              <w:jc w:val="left"/>
              <w:rPr>
                <w:bCs/>
              </w:rPr>
            </w:pPr>
            <w:r>
              <w:rPr>
                <w:bCs/>
              </w:rPr>
              <w:t>требование не установлено</w:t>
            </w:r>
          </w:p>
          <w:p>
            <w:pPr>
              <w:pStyle w:val="ConsPlusNormal"/>
              <w:widowControl w:val="false"/>
              <w:ind w:firstLine="743"/>
              <w:rPr>
                <w:bCs/>
              </w:rPr>
            </w:pPr>
            <w:r>
              <w:rPr>
                <w:bCs/>
              </w:rPr>
            </w:r>
          </w:p>
          <w:p>
            <w:pPr>
              <w:pStyle w:val="ConsPlusNormal"/>
              <w:widowControl w:val="false"/>
              <w:ind w:firstLine="743"/>
              <w:rPr>
                <w:bCs/>
              </w:rPr>
            </w:pPr>
            <w:r>
              <w:rPr>
                <w:bCs/>
              </w:rPr>
            </w:r>
          </w:p>
          <w:p>
            <w:pPr>
              <w:pStyle w:val="ConsPlusNormal"/>
              <w:widowControl w:val="false"/>
              <w:ind w:firstLine="743"/>
              <w:rPr>
                <w:szCs w:val="24"/>
                <w:lang w:eastAsia="en-US"/>
              </w:rPr>
            </w:pPr>
            <w:r>
              <w:rPr>
                <w:bCs/>
              </w:rPr>
              <w:t>---</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bookmarkStart w:id="21" w:name="_Hlk87349656"/>
            <w:r>
              <w:rPr>
                <w:sz w:val="24"/>
                <w:szCs w:val="24"/>
                <w:lang w:eastAsia="en-US"/>
              </w:rPr>
              <w:t>Порядок предоставления обеспечения гарантийных обязательств</w:t>
            </w:r>
            <w:bookmarkEnd w:id="21"/>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firstLine="743"/>
              <w:rPr>
                <w:sz w:val="24"/>
                <w:szCs w:val="24"/>
                <w:lang w:eastAsia="en-US"/>
              </w:rPr>
            </w:pPr>
            <w:r>
              <w:rPr>
                <w:sz w:val="24"/>
                <w:szCs w:val="24"/>
                <w:lang w:eastAsia="en-US"/>
              </w:rPr>
              <w:t>---</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Платежные реквизиты для обеспечения гарантийных обязательств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ind w:firstLine="743"/>
              <w:rPr>
                <w:szCs w:val="24"/>
                <w:lang w:eastAsia="en-US"/>
              </w:rPr>
            </w:pPr>
            <w:r>
              <w:rPr>
                <w:szCs w:val="24"/>
                <w:lang w:eastAsia="en-US"/>
              </w:rPr>
              <w:t>----</w:t>
            </w:r>
          </w:p>
        </w:tc>
      </w:tr>
      <w:tr>
        <w:trPr/>
        <w:tc>
          <w:tcPr>
            <w:tcW w:w="325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 w:val="24"/>
                <w:szCs w:val="24"/>
                <w:lang w:eastAsia="en-US"/>
              </w:rPr>
            </w:pPr>
            <w:r>
              <w:rPr>
                <w:sz w:val="24"/>
                <w:szCs w:val="24"/>
                <w:lang w:eastAsia="en-US"/>
              </w:rPr>
              <w:t>Перечень прикрепленных документов</w:t>
            </w:r>
          </w:p>
        </w:tc>
        <w:tc>
          <w:tcPr>
            <w:tcW w:w="7440" w:type="dxa"/>
            <w:tcBorders>
              <w:top w:val="single" w:sz="4" w:space="0" w:color="000000"/>
              <w:left w:val="single" w:sz="4" w:space="0" w:color="000000"/>
              <w:bottom w:val="single" w:sz="4" w:space="0" w:color="000000"/>
              <w:right w:val="single" w:sz="4" w:space="0" w:color="000000"/>
            </w:tcBorders>
            <w:shd w:color="auto" w:fill="auto" w:val="clear"/>
          </w:tcPr>
          <w:p>
            <w:pPr>
              <w:pStyle w:val="ConsPlusNormal"/>
              <w:widowControl w:val="false"/>
              <w:rPr>
                <w:szCs w:val="24"/>
                <w:lang w:eastAsia="en-US"/>
              </w:rPr>
            </w:pPr>
            <w:r>
              <w:rPr>
                <w:szCs w:val="24"/>
                <w:lang w:eastAsia="en-US"/>
              </w:rPr>
              <w:t>Приложение 1 - Обоснование НМЦК</w:t>
            </w:r>
          </w:p>
          <w:p>
            <w:pPr>
              <w:pStyle w:val="ConsPlusNormal"/>
              <w:widowControl w:val="false"/>
              <w:rPr>
                <w:szCs w:val="24"/>
                <w:lang w:eastAsia="en-US"/>
              </w:rPr>
            </w:pPr>
            <w:r>
              <w:rPr>
                <w:szCs w:val="24"/>
                <w:lang w:eastAsia="en-US"/>
              </w:rPr>
              <w:t>Приложение 2 - Проект контракта</w:t>
            </w:r>
          </w:p>
          <w:p>
            <w:pPr>
              <w:pStyle w:val="ConsPlusNormal"/>
              <w:widowControl w:val="false"/>
              <w:rPr>
                <w:szCs w:val="24"/>
                <w:lang w:eastAsia="en-US"/>
              </w:rPr>
            </w:pPr>
            <w:r>
              <w:rPr>
                <w:szCs w:val="24"/>
                <w:lang w:eastAsia="en-US"/>
              </w:rPr>
              <w:t>Приложение 3 - Описание объекта закупки (техническое задание)</w:t>
            </w:r>
          </w:p>
          <w:p>
            <w:pPr>
              <w:pStyle w:val="ConsPlusNormal"/>
              <w:widowControl w:val="false"/>
              <w:rPr>
                <w:szCs w:val="24"/>
                <w:lang w:eastAsia="en-US"/>
              </w:rPr>
            </w:pPr>
            <w:r>
              <w:rPr>
                <w:szCs w:val="24"/>
                <w:lang w:eastAsia="en-US"/>
              </w:rPr>
              <w:t>Приложение 4 - Требования к содержанию, составу заявки, инструкция по ее заполнению</w:t>
            </w:r>
          </w:p>
        </w:tc>
      </w:tr>
    </w:tbl>
    <w:p>
      <w:pPr>
        <w:pStyle w:val="Normal"/>
        <w:rPr>
          <w:sz w:val="24"/>
          <w:szCs w:val="24"/>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567" w:right="567" w:gutter="0" w:header="397" w:top="567" w:footer="0" w:bottom="567"/>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Franklin Gothic Medium">
    <w:charset w:val="cc"/>
    <w:family w:val="roman"/>
    <w:pitch w:val="variable"/>
  </w:font>
  <w:font w:name="Calibri">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3"/>
      <w:rPr/>
    </w:pPr>
    <w:r>
      <w:rPr/>
    </w:r>
  </w:p>
</w:hdr>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8"/>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1664"/>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8c1664"/>
    <w:rPr>
      <w:rFonts w:eastAsia="Times New Roman" w:cs="Times New Roman"/>
      <w:sz w:val="20"/>
      <w:szCs w:val="20"/>
      <w:lang w:eastAsia="ru-RU"/>
    </w:rPr>
  </w:style>
  <w:style w:type="character" w:styleId="Style15" w:customStyle="1">
    <w:name w:val="Нижний колонтитул Знак"/>
    <w:basedOn w:val="DefaultParagraphFont"/>
    <w:uiPriority w:val="99"/>
    <w:qFormat/>
    <w:rsid w:val="008c1664"/>
    <w:rPr>
      <w:rFonts w:eastAsia="Times New Roman" w:cs="Times New Roman"/>
      <w:sz w:val="20"/>
      <w:szCs w:val="20"/>
      <w:lang w:eastAsia="ru-RU"/>
    </w:rPr>
  </w:style>
  <w:style w:type="character" w:styleId="-">
    <w:name w:val="Hyperlink"/>
    <w:uiPriority w:val="99"/>
    <w:unhideWhenUsed/>
    <w:rsid w:val="008c1664"/>
    <w:rPr>
      <w:rFonts w:cs="Times New Roman"/>
      <w:color w:val="0000FF"/>
      <w:u w:val="single"/>
    </w:rPr>
  </w:style>
  <w:style w:type="character" w:styleId="Style16" w:customStyle="1">
    <w:name w:val="Текст выноски Знак"/>
    <w:basedOn w:val="DefaultParagraphFont"/>
    <w:uiPriority w:val="99"/>
    <w:semiHidden/>
    <w:qFormat/>
    <w:rsid w:val="00cc3ea5"/>
    <w:rPr>
      <w:rFonts w:ascii="Segoe UI" w:hAnsi="Segoe UI" w:eastAsia="Times New Roman" w:cs="Segoe UI"/>
      <w:sz w:val="18"/>
      <w:szCs w:val="18"/>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Style22">
    <w:name w:val="Колонтитул"/>
    <w:basedOn w:val="Normal"/>
    <w:qFormat/>
    <w:pPr/>
    <w:rPr/>
  </w:style>
  <w:style w:type="paragraph" w:styleId="Style23">
    <w:name w:val="Header"/>
    <w:basedOn w:val="Normal"/>
    <w:uiPriority w:val="99"/>
    <w:rsid w:val="008c1664"/>
    <w:pPr>
      <w:tabs>
        <w:tab w:val="clear" w:pos="708"/>
        <w:tab w:val="center" w:pos="4153" w:leader="none"/>
        <w:tab w:val="right" w:pos="8306" w:leader="none"/>
      </w:tabs>
    </w:pPr>
    <w:rPr/>
  </w:style>
  <w:style w:type="paragraph" w:styleId="Style24">
    <w:name w:val="Footer"/>
    <w:basedOn w:val="Normal"/>
    <w:uiPriority w:val="99"/>
    <w:rsid w:val="008c1664"/>
    <w:pPr>
      <w:tabs>
        <w:tab w:val="clear" w:pos="708"/>
        <w:tab w:val="center" w:pos="4153" w:leader="none"/>
        <w:tab w:val="right" w:pos="8306" w:leader="none"/>
      </w:tabs>
    </w:pPr>
    <w:rPr/>
  </w:style>
  <w:style w:type="paragraph" w:styleId="ConsPlusNormal" w:customStyle="1">
    <w:name w:val="ConsPlusNormal"/>
    <w:qFormat/>
    <w:rsid w:val="008c1664"/>
    <w:pPr>
      <w:widowControl w:val="false"/>
      <w:suppressAutoHyphens w:val="true"/>
      <w:bidi w:val="0"/>
      <w:spacing w:before="0" w:after="0"/>
      <w:jc w:val="left"/>
    </w:pPr>
    <w:rPr>
      <w:rFonts w:ascii="Times New Roman" w:hAnsi="Times New Roman" w:eastAsia="Times New Roman" w:cs="Times New Roman"/>
      <w:color w:val="auto"/>
      <w:kern w:val="0"/>
      <w:sz w:val="24"/>
      <w:szCs w:val="20"/>
      <w:lang w:val="ru-RU" w:eastAsia="ru-RU" w:bidi="ar-SA"/>
    </w:rPr>
  </w:style>
  <w:style w:type="paragraph" w:styleId="ListParagraph">
    <w:name w:val="List Paragraph"/>
    <w:basedOn w:val="Normal"/>
    <w:uiPriority w:val="34"/>
    <w:qFormat/>
    <w:rsid w:val="00d5164b"/>
    <w:pPr>
      <w:spacing w:before="0" w:after="0"/>
      <w:ind w:left="720" w:hanging="0"/>
      <w:contextualSpacing/>
    </w:pPr>
    <w:rPr/>
  </w:style>
  <w:style w:type="paragraph" w:styleId="ConsNormal" w:customStyle="1">
    <w:name w:val="ConsNormal"/>
    <w:qFormat/>
    <w:rsid w:val="00b55803"/>
    <w:pPr>
      <w:widowControl/>
      <w:suppressAutoHyphens w:val="true"/>
      <w:bidi w:val="0"/>
      <w:spacing w:before="0" w:after="0"/>
      <w:ind w:right="19772" w:firstLine="720"/>
      <w:jc w:val="left"/>
    </w:pPr>
    <w:rPr>
      <w:rFonts w:ascii="Arial" w:hAnsi="Arial" w:eastAsia="Times New Roman" w:cs="Arial"/>
      <w:color w:val="auto"/>
      <w:kern w:val="0"/>
      <w:sz w:val="20"/>
      <w:szCs w:val="20"/>
      <w:lang w:val="ru-RU" w:eastAsia="ru-RU" w:bidi="ar-SA"/>
    </w:rPr>
  </w:style>
  <w:style w:type="paragraph" w:styleId="BalloonText">
    <w:name w:val="Balloon Text"/>
    <w:basedOn w:val="Normal"/>
    <w:uiPriority w:val="99"/>
    <w:semiHidden/>
    <w:unhideWhenUsed/>
    <w:qFormat/>
    <w:rsid w:val="00cc3ea5"/>
    <w:pPr/>
    <w:rPr>
      <w:rFonts w:ascii="Segoe UI" w:hAnsi="Segoe UI" w:cs="Segoe UI"/>
      <w:sz w:val="18"/>
      <w:szCs w:val="18"/>
    </w:rPr>
  </w:style>
  <w:style w:type="paragraph" w:styleId="Style25">
    <w:name w:val="Содержимое таблицы"/>
    <w:basedOn w:val="Normal"/>
    <w:qFormat/>
    <w:pPr>
      <w:widowControl w:val="false"/>
      <w:suppressLineNumbers/>
    </w:pPr>
    <w:rPr/>
  </w:style>
  <w:style w:type="paragraph" w:styleId="Style26">
    <w:name w:val="Заголовок таблицы"/>
    <w:basedOn w:val="Style25"/>
    <w:qFormat/>
    <w:pPr>
      <w:suppressLineNumbers/>
      <w:jc w:val="center"/>
    </w:pPr>
    <w:rPr>
      <w:b/>
      <w:bCs/>
    </w:rPr>
  </w:style>
  <w:style w:type="paragraph" w:styleId="Style27">
    <w:name w:val="Таблицы (моноширинный)"/>
    <w:basedOn w:val="Normal"/>
    <w:next w:val="1"/>
    <w:qFormat/>
    <w:pPr>
      <w:widowControl w:val="false"/>
      <w:suppressLineNumbers/>
      <w:spacing w:before="120" w:after="120"/>
    </w:pPr>
    <w:rPr>
      <w:rFonts w:ascii="Courier New" w:hAnsi="Courier New" w:cs="Courier New"/>
      <w:i/>
      <w:iCs/>
      <w:sz w:val="20"/>
      <w:szCs w:val="20"/>
    </w:rPr>
  </w:style>
  <w:style w:type="paragraph" w:styleId="1">
    <w:name w:val="Приветствие1"/>
    <w:basedOn w:val="Normal"/>
    <w:next w:val="Style28"/>
    <w:qFormat/>
    <w:pPr>
      <w:suppressLineNumbers/>
      <w:spacing w:before="120" w:after="120"/>
    </w:pPr>
    <w:rPr>
      <w:i/>
      <w:iCs/>
    </w:rPr>
  </w:style>
  <w:style w:type="paragraph" w:styleId="Style28">
    <w:name w:val="Комментарий"/>
    <w:basedOn w:val="Normal"/>
    <w:next w:val="Style29"/>
    <w:qFormat/>
    <w:pPr>
      <w:widowControl w:val="false"/>
      <w:suppressLineNumbers/>
      <w:spacing w:before="120" w:after="120"/>
      <w:ind w:left="170" w:hanging="0"/>
    </w:pPr>
    <w:rPr>
      <w:rFonts w:ascii="Arial" w:hAnsi="Arial"/>
      <w:i/>
      <w:iCs/>
      <w:color w:val="800080"/>
      <w:sz w:val="20"/>
      <w:szCs w:val="20"/>
    </w:rPr>
  </w:style>
  <w:style w:type="paragraph" w:styleId="Style29">
    <w:name w:val="Знак Знак Знак Знак Знак Знак Знак Знак Знак Знак Знак Знак Знак Знак Знак Знак Знак Знак Знак"/>
    <w:basedOn w:val="Normal"/>
    <w:next w:val="Font6"/>
    <w:qFormat/>
    <w:pPr>
      <w:suppressLineNumbers/>
      <w:spacing w:before="28" w:after="28"/>
    </w:pPr>
    <w:rPr>
      <w:rFonts w:ascii="Tahoma" w:hAnsi="Tahoma" w:cs="Tahoma"/>
      <w:i/>
      <w:iCs/>
      <w:sz w:val="20"/>
      <w:szCs w:val="20"/>
      <w:lang w:val="en-US"/>
    </w:rPr>
  </w:style>
  <w:style w:type="paragraph" w:styleId="Font6">
    <w:name w:val="font6"/>
    <w:basedOn w:val="Normal"/>
    <w:next w:val="Xl41"/>
    <w:qFormat/>
    <w:pPr>
      <w:suppressLineNumbers/>
      <w:spacing w:before="28" w:after="28"/>
    </w:pPr>
    <w:rPr>
      <w:i/>
      <w:iCs/>
      <w:sz w:val="20"/>
      <w:szCs w:val="20"/>
    </w:rPr>
  </w:style>
  <w:style w:type="paragraph" w:styleId="Xl41">
    <w:name w:val="xl41"/>
    <w:basedOn w:val="Normal"/>
    <w:next w:val="Xl59"/>
    <w:qFormat/>
    <w:pPr>
      <w:suppressLineNumbers/>
      <w:spacing w:before="28" w:after="28"/>
      <w:textAlignment w:val="top"/>
    </w:pPr>
    <w:rPr>
      <w:i/>
      <w:iCs/>
    </w:rPr>
  </w:style>
  <w:style w:type="paragraph" w:styleId="Xl59">
    <w:name w:val="xl59"/>
    <w:basedOn w:val="Normal"/>
    <w:next w:val="Font9"/>
    <w:qFormat/>
    <w:pPr>
      <w:suppressLineNumbers/>
      <w:spacing w:before="28" w:after="28"/>
      <w:textAlignment w:val="top"/>
    </w:pPr>
    <w:rPr>
      <w:i/>
      <w:iCs/>
    </w:rPr>
  </w:style>
  <w:style w:type="paragraph" w:styleId="Font9">
    <w:name w:val="font9"/>
    <w:basedOn w:val="Normal"/>
    <w:next w:val="Xl74"/>
    <w:qFormat/>
    <w:pPr>
      <w:suppressLineNumbers/>
      <w:spacing w:before="28" w:after="28"/>
    </w:pPr>
    <w:rPr>
      <w:i/>
      <w:iCs/>
      <w:color w:val="000000"/>
    </w:rPr>
  </w:style>
  <w:style w:type="paragraph" w:styleId="Xl74">
    <w:name w:val="xl74"/>
    <w:basedOn w:val="Normal"/>
    <w:next w:val="1KGK9"/>
    <w:qFormat/>
    <w:pPr>
      <w:suppressLineNumbers/>
      <w:spacing w:before="28" w:after="28"/>
      <w:jc w:val="right"/>
      <w:textAlignment w:val="top"/>
    </w:pPr>
    <w:rPr>
      <w:i/>
      <w:iCs/>
      <w:sz w:val="18"/>
      <w:szCs w:val="18"/>
    </w:rPr>
  </w:style>
  <w:style w:type="paragraph" w:styleId="1KGK9">
    <w:name w:val="1KG=K9"/>
    <w:next w:val="Style51"/>
    <w:qFormat/>
    <w:pPr>
      <w:widowControl/>
      <w:tabs>
        <w:tab w:val="left" w:pos="708" w:leader="none"/>
      </w:tabs>
      <w:suppressAutoHyphens w:val="true"/>
      <w:bidi w:val="0"/>
      <w:spacing w:lineRule="auto" w:line="240" w:before="0" w:after="0"/>
      <w:jc w:val="left"/>
    </w:pPr>
    <w:rPr>
      <w:rFonts w:ascii="Arial" w:hAnsi="Arial" w:eastAsia="Times New Roman" w:cs="Arial"/>
      <w:color w:val="00000A"/>
      <w:kern w:val="2"/>
      <w:sz w:val="24"/>
      <w:szCs w:val="20"/>
      <w:lang w:val="en-AU" w:eastAsia="zh-CN" w:bidi="ar-SA"/>
    </w:rPr>
  </w:style>
  <w:style w:type="paragraph" w:styleId="Style51">
    <w:name w:val="Style5"/>
    <w:basedOn w:val="Normal"/>
    <w:next w:val="21"/>
    <w:qFormat/>
    <w:pPr>
      <w:widowControl w:val="false"/>
      <w:suppressLineNumbers/>
      <w:spacing w:before="120" w:after="120"/>
    </w:pPr>
    <w:rPr>
      <w:rFonts w:ascii="Franklin Gothic Medium" w:hAnsi="Franklin Gothic Medium" w:cs="Franklin Gothic Medium"/>
      <w:i/>
      <w:iCs/>
    </w:rPr>
  </w:style>
  <w:style w:type="paragraph" w:styleId="21">
    <w:name w:val="Обычный21"/>
    <w:next w:val="42"/>
    <w:qFormat/>
    <w:pPr>
      <w:widowControl w:val="false"/>
      <w:tabs>
        <w:tab w:val="left" w:pos="708" w:leader="none"/>
      </w:tabs>
      <w:suppressAutoHyphens w:val="true"/>
      <w:bidi w:val="0"/>
      <w:spacing w:lineRule="atLeast" w:line="100" w:before="100" w:after="100"/>
      <w:jc w:val="left"/>
    </w:pPr>
    <w:rPr>
      <w:rFonts w:ascii="Liberation Serif" w:hAnsi="Liberation Serif" w:eastAsia="Liberation Serif" w:cs="Lohit Hindi"/>
      <w:color w:val="00000A"/>
      <w:kern w:val="2"/>
      <w:sz w:val="24"/>
      <w:szCs w:val="20"/>
      <w:lang w:val="ru-RU" w:eastAsia="zh-CN" w:bidi="hi-IN"/>
    </w:rPr>
  </w:style>
  <w:style w:type="paragraph" w:styleId="WW-">
    <w:name w:val="WW-Заглавие"/>
    <w:basedOn w:val="Normal"/>
    <w:next w:val="7"/>
    <w:qFormat/>
    <w:pPr>
      <w:widowControl w:val="false"/>
      <w:suppressLineNumbers/>
      <w:spacing w:before="120" w:after="120"/>
      <w:ind w:left="72" w:hanging="0"/>
      <w:jc w:val="center"/>
    </w:pPr>
    <w:rPr>
      <w:rFonts w:cs="Lohit Hindi"/>
      <w:b/>
      <w:bCs/>
      <w:i/>
      <w:iCs/>
      <w:color w:val="000000"/>
      <w:spacing w:val="13"/>
      <w:sz w:val="36"/>
      <w:szCs w:val="22"/>
    </w:rPr>
  </w:style>
  <w:style w:type="paragraph" w:styleId="7">
    <w:name w:val="TOC 7"/>
    <w:basedOn w:val="Normal"/>
    <w:next w:val="Normal"/>
    <w:pPr>
      <w:suppressLineNumbers/>
      <w:spacing w:before="120" w:after="120"/>
      <w:ind w:left="1200" w:hanging="0"/>
    </w:pPr>
    <w:rPr>
      <w:rFonts w:ascii="Calibri" w:hAnsi="Calibri" w:cs="Calibri"/>
      <w:i/>
      <w:iCs/>
      <w:color w:val="000000"/>
      <w:sz w:val="18"/>
      <w:szCs w:val="18"/>
    </w:rPr>
  </w:style>
  <w:style w:type="paragraph" w:styleId="42">
    <w:name w:val="Маркированный список 42"/>
    <w:basedOn w:val="WW-"/>
    <w:next w:val="Normal"/>
    <w:qFormat/>
    <w:pPr>
      <w:tabs>
        <w:tab w:val="clear" w:pos="708"/>
        <w:tab w:val="left" w:pos="3126" w:leader="none"/>
        <w:tab w:val="left" w:pos="7254" w:leader="none"/>
      </w:tabs>
      <w:spacing w:before="0" w:after="60"/>
      <w:ind w:left="1209" w:hanging="360"/>
    </w:pPr>
    <w:rPr>
      <w:szCs w:val="20"/>
    </w:rPr>
  </w:style>
  <w:style w:type="paragraph" w:styleId="Style30">
    <w:name w:val="Body Text Indent"/>
    <w:basedOn w:val="Normal"/>
    <w:pPr>
      <w:spacing w:before="0" w:after="120"/>
      <w:ind w:left="283" w:hanging="0"/>
    </w:pPr>
    <w:rPr>
      <w:rFonts w:ascii="Calibri" w:hAnsi="Calibri" w:eastAsia="Calibri" w:cs="" w:asciiTheme="minorHAnsi" w:cstheme="minorBidi" w:eastAsiaTheme="minorHAnsi" w:hAnsiTheme="minorHAnsi"/>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conimik_urup@mail.ru"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1589</TotalTime>
  <Application>LibreOffice/7.5.5.2$Windows_X86_64 LibreOffice_project/ca8fe7424262805f223b9a2334bc7181abbcbf5e</Application>
  <AppVersion>15.0000</AppVersion>
  <Pages>8</Pages>
  <Words>2254</Words>
  <Characters>16374</Characters>
  <CharactersWithSpaces>18469</CharactersWithSpaces>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2022-01-25T05:18:00Z</dcterms:created>
  <dc:creator>Пользователь</dc:creator>
  <dc:description/>
  <dc:language>ru-RU</dc:language>
  <cp:lastModifiedBy/>
  <cp:lastPrinted>2022-04-26T17:11:00Z</cp:lastPrinted>
  <dcterms:modified xsi:type="dcterms:W3CDTF">2023-10-04T17:04:05Z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file>