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9"/>
        <w:jc w:val="center"/>
        <w:rPr>
          <w:b/>
          <w:sz w:val="24"/>
          <w:szCs w:val="24"/>
        </w:rPr>
      </w:pPr>
      <w:r>
        <w:rPr>
          <w:b/>
          <w:sz w:val="24"/>
          <w:szCs w:val="24"/>
        </w:rPr>
        <w:t>Извещение</w:t>
      </w:r>
    </w:p>
    <w:p>
      <w:pPr>
        <w:pStyle w:val="Normal"/>
        <w:jc w:val="center"/>
        <w:rPr>
          <w:rFonts w:eastAsia="Calibri" w:eastAsiaTheme="minorHAnsi"/>
          <w:b/>
          <w:bCs/>
          <w:sz w:val="24"/>
          <w:szCs w:val="24"/>
          <w:lang w:eastAsia="en-US"/>
        </w:rPr>
      </w:pPr>
      <w:r>
        <w:rPr>
          <w:rFonts w:eastAsia="Calibri" w:eastAsiaTheme="minorHAnsi"/>
          <w:b/>
          <w:bCs/>
          <w:sz w:val="24"/>
          <w:szCs w:val="24"/>
          <w:lang w:eastAsia="en-US"/>
        </w:rPr>
        <w:t>об осуществлении закупки путем</w:t>
      </w:r>
    </w:p>
    <w:p>
      <w:pPr>
        <w:pStyle w:val="Normal"/>
        <w:jc w:val="center"/>
        <w:rPr>
          <w:rFonts w:eastAsia="Calibri" w:eastAsiaTheme="minorHAnsi"/>
          <w:b/>
          <w:bCs/>
          <w:sz w:val="24"/>
          <w:szCs w:val="24"/>
          <w:lang w:eastAsia="en-US"/>
        </w:rPr>
      </w:pPr>
      <w:r>
        <w:rPr>
          <w:rFonts w:eastAsia="Calibri" w:eastAsiaTheme="minorHAnsi"/>
          <w:b/>
          <w:bCs/>
          <w:sz w:val="24"/>
          <w:szCs w:val="24"/>
          <w:lang w:eastAsia="en-US"/>
        </w:rPr>
        <w:t>проведения электронного аукциона</w:t>
      </w:r>
    </w:p>
    <w:p>
      <w:pPr>
        <w:pStyle w:val="Normal"/>
        <w:jc w:val="center"/>
        <w:rPr>
          <w:sz w:val="24"/>
          <w:szCs w:val="24"/>
        </w:rPr>
      </w:pPr>
      <w:r>
        <w:rPr>
          <w:b/>
          <w:sz w:val="24"/>
          <w:szCs w:val="24"/>
        </w:rPr>
        <w:t>на право п</w:t>
      </w:r>
      <w:r>
        <w:rPr>
          <w:rFonts w:cs="Times New Roman"/>
          <w:b/>
          <w:bCs/>
          <w:color w:val="000000"/>
          <w:sz w:val="24"/>
          <w:szCs w:val="24"/>
          <w:lang w:val="ru-RU" w:eastAsia="en-US"/>
        </w:rPr>
        <w:t xml:space="preserve">оставки бензина АИ-92 на </w:t>
      </w:r>
      <w:r>
        <w:rPr>
          <w:rFonts w:cs="Times New Roman"/>
          <w:b/>
          <w:bCs/>
          <w:color w:val="000000"/>
          <w:sz w:val="24"/>
          <w:szCs w:val="24"/>
          <w:lang w:val="ru-RU" w:eastAsia="zh-CN"/>
        </w:rPr>
        <w:t>2</w:t>
      </w:r>
      <w:r>
        <w:rPr>
          <w:rFonts w:cs="Times New Roman"/>
          <w:b/>
          <w:bCs/>
          <w:color w:val="000000"/>
          <w:sz w:val="24"/>
          <w:szCs w:val="24"/>
          <w:lang w:val="ru-RU" w:eastAsia="en-US"/>
        </w:rPr>
        <w:t>-е полугодие 2023</w:t>
      </w:r>
      <w:r>
        <w:rPr>
          <w:rFonts w:cs="Times New Roman"/>
          <w:b/>
          <w:bCs/>
          <w:color w:val="000000"/>
          <w:sz w:val="24"/>
          <w:szCs w:val="24"/>
          <w:lang w:val="ru-RU" w:eastAsia="zh-CN"/>
        </w:rPr>
        <w:t xml:space="preserve"> </w:t>
      </w:r>
      <w:r>
        <w:rPr>
          <w:rFonts w:cs="Times New Roman"/>
          <w:b/>
          <w:bCs/>
          <w:color w:val="000000"/>
          <w:sz w:val="24"/>
          <w:szCs w:val="24"/>
          <w:lang w:val="ru-RU" w:eastAsia="en-US"/>
        </w:rPr>
        <w:t>года</w:t>
      </w:r>
    </w:p>
    <w:p>
      <w:pPr>
        <w:pStyle w:val="Normal"/>
        <w:jc w:val="center"/>
        <w:rPr>
          <w:sz w:val="24"/>
          <w:szCs w:val="24"/>
        </w:rPr>
      </w:pPr>
      <w:r>
        <w:rPr>
          <w:sz w:val="24"/>
          <w:szCs w:val="24"/>
        </w:rPr>
      </w:r>
    </w:p>
    <w:tbl>
      <w:tblPr>
        <w:tblW w:w="1069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54"/>
        <w:gridCol w:w="7440"/>
      </w:tblGrid>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sz w:val="24"/>
                <w:szCs w:val="24"/>
                <w:lang w:eastAsia="en-US"/>
              </w:rPr>
            </w:pPr>
            <w:r>
              <w:rPr>
                <w:b/>
                <w:bCs/>
                <w:sz w:val="24"/>
                <w:szCs w:val="24"/>
                <w:lang w:eastAsia="en-US"/>
              </w:rPr>
              <w:t>Сведения о лице, проводящем закупку</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sz w:val="24"/>
                <w:szCs w:val="24"/>
                <w:lang w:eastAsia="en-US"/>
              </w:rPr>
            </w:pPr>
            <w:r>
              <w:rPr>
                <w:rFonts w:cs="Times New Roman"/>
                <w:bCs/>
                <w:color w:val="000000"/>
                <w:sz w:val="24"/>
                <w:szCs w:val="24"/>
                <w:lang w:val="ru-RU" w:eastAsia="en-US"/>
              </w:rPr>
              <w:t>Администрация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Место нахождения и почтовый адрес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lang w:eastAsia="en-US"/>
              </w:rPr>
            </w:pPr>
            <w:bookmarkStart w:id="0" w:name="_Hlk87342993"/>
            <w:bookmarkEnd w:id="0"/>
            <w:r>
              <w:rPr>
                <w:rFonts w:cs="Times New Roman"/>
                <w:bCs/>
                <w:color w:val="000000"/>
                <w:sz w:val="24"/>
                <w:szCs w:val="24"/>
                <w:lang w:val="ru-RU" w:eastAsia="en-US"/>
              </w:rPr>
              <w:t>369260, Карачаево-Черкесская Республика,  Урупский район, ст. Преградная, ул. Советская, 60</w:t>
            </w:r>
          </w:p>
        </w:tc>
      </w:tr>
      <w:tr>
        <w:trPr>
          <w:trHeight w:val="526" w:hRule="atLeast"/>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Номер контактного телефона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rPr>
            </w:pPr>
            <w:r>
              <w:rPr>
                <w:rFonts w:cs="Times New Roman"/>
                <w:bCs/>
                <w:color w:val="000000"/>
                <w:sz w:val="24"/>
                <w:szCs w:val="24"/>
                <w:lang w:val="ru-RU" w:eastAsia="en-US"/>
              </w:rPr>
              <w:t>8(87876) 61596</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Адрес электронной почты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jc w:val="both"/>
              <w:rPr/>
            </w:pPr>
            <w:hyperlink r:id="rId2">
              <w:r>
                <w:rPr>
                  <w:rFonts w:cs="Times New Roman"/>
                  <w:bCs/>
                  <w:sz w:val="24"/>
                  <w:szCs w:val="24"/>
                  <w:lang w:val="en-US"/>
                </w:rPr>
                <w:t>econimik</w:t>
              </w:r>
              <w:r>
                <w:rPr>
                  <w:rFonts w:cs="Times New Roman"/>
                  <w:bCs/>
                  <w:sz w:val="24"/>
                  <w:szCs w:val="24"/>
                  <w:lang w:val="ru-RU"/>
                </w:rPr>
                <w:t>_</w:t>
              </w:r>
              <w:r>
                <w:rPr>
                  <w:rFonts w:cs="Times New Roman"/>
                  <w:bCs/>
                  <w:sz w:val="24"/>
                  <w:szCs w:val="24"/>
                  <w:lang w:val="en-US"/>
                </w:rPr>
                <w:t>urup</w:t>
              </w:r>
              <w:r>
                <w:rPr>
                  <w:rFonts w:cs="Times New Roman"/>
                  <w:bCs/>
                  <w:sz w:val="24"/>
                  <w:szCs w:val="24"/>
                  <w:lang w:val="ru-RU"/>
                </w:rPr>
                <w:t>@</w:t>
              </w:r>
              <w:r>
                <w:rPr>
                  <w:rFonts w:cs="Times New Roman"/>
                  <w:bCs/>
                  <w:sz w:val="24"/>
                  <w:szCs w:val="24"/>
                  <w:lang w:val="en-US"/>
                </w:rPr>
                <w:t>mail</w:t>
              </w:r>
              <w:r>
                <w:rPr>
                  <w:rFonts w:cs="Times New Roman"/>
                  <w:bCs/>
                  <w:sz w:val="24"/>
                  <w:szCs w:val="24"/>
                  <w:lang w:val="ru-RU"/>
                </w:rPr>
                <w:t>.</w:t>
              </w:r>
              <w:r>
                <w:rPr>
                  <w:rFonts w:cs="Times New Roman"/>
                  <w:bCs/>
                  <w:sz w:val="24"/>
                  <w:szCs w:val="24"/>
                  <w:lang w:val="en-US"/>
                </w:rPr>
                <w:t>ru</w:t>
              </w:r>
            </w:hyperlink>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Ответственное должностное лицо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0"/>
              <w:rPr>
                <w:sz w:val="24"/>
                <w:szCs w:val="24"/>
                <w:lang w:eastAsia="en-US"/>
              </w:rPr>
            </w:pPr>
            <w:r>
              <w:rPr>
                <w:rFonts w:cs="Times New Roman"/>
                <w:color w:val="000000"/>
                <w:sz w:val="24"/>
                <w:szCs w:val="24"/>
                <w:lang w:val="ru-RU" w:eastAsia="en-US"/>
              </w:rPr>
              <w:t>Ольга Владимировна Тинт</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5" w:right="75" w:hanging="0"/>
              <w:rPr>
                <w:sz w:val="24"/>
                <w:szCs w:val="24"/>
                <w:lang w:eastAsia="en-US"/>
              </w:rPr>
            </w:pPr>
            <w:r>
              <w:rPr>
                <w:rFonts w:cs="Times New Roman"/>
                <w:color w:val="000000"/>
                <w:sz w:val="24"/>
                <w:szCs w:val="24"/>
                <w:lang w:val="ru-RU" w:eastAsia="en-US"/>
              </w:rPr>
              <w:t>Информация о контрактной службе, контрактном управляющем, ответственных за заключение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Состав единой комиссии администрации Урупского муниципального района утвержден постановлением администрации Урупского муниципального района</w:t>
            </w:r>
          </w:p>
          <w:p>
            <w:pPr>
              <w:pStyle w:val="Normal"/>
              <w:widowControl w:val="false"/>
              <w:ind w:left="0" w:right="0" w:firstLine="720"/>
              <w:jc w:val="both"/>
              <w:rPr>
                <w:sz w:val="24"/>
                <w:szCs w:val="24"/>
              </w:rPr>
            </w:pPr>
            <w:r>
              <w:rPr>
                <w:rFonts w:cs="Times New Roman"/>
                <w:bCs/>
                <w:sz w:val="24"/>
                <w:szCs w:val="24"/>
                <w:lang w:val="ru-RU"/>
              </w:rPr>
              <w:t xml:space="preserve"> </w:t>
            </w:r>
            <w:r>
              <w:rPr>
                <w:bCs/>
                <w:sz w:val="24"/>
                <w:szCs w:val="24"/>
                <w:lang w:val="ru-RU"/>
              </w:rPr>
              <w:t>№</w:t>
            </w:r>
            <w:r>
              <w:rPr>
                <w:bCs/>
                <w:sz w:val="24"/>
                <w:szCs w:val="24"/>
                <w:lang w:val="ru-RU"/>
              </w:rPr>
              <w:t>77 от 29.01.2014.</w:t>
            </w:r>
          </w:p>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Урупского муниципального района» утверждена комиссия  в составе:</w:t>
            </w:r>
          </w:p>
          <w:p>
            <w:pPr>
              <w:pStyle w:val="Normal"/>
              <w:widowControl w:val="false"/>
              <w:tabs>
                <w:tab w:val="clear" w:pos="708"/>
                <w:tab w:val="left" w:pos="567" w:leader="none"/>
              </w:tabs>
              <w:suppressAutoHyphens w:val="false"/>
              <w:spacing w:before="0" w:after="280"/>
              <w:rPr>
                <w:rFonts w:cs="Times New Roman"/>
                <w:bCs/>
                <w:color w:val="000000"/>
                <w:sz w:val="24"/>
                <w:szCs w:val="24"/>
                <w:lang w:val="ru-RU"/>
              </w:rPr>
            </w:pPr>
            <w:r>
              <w:rPr>
                <w:rFonts w:cs="Times New Roman"/>
                <w:bCs/>
                <w:color w:val="000000"/>
                <w:sz w:val="24"/>
                <w:szCs w:val="24"/>
                <w:lang w:val="ru-RU"/>
              </w:rPr>
              <w:t>Байрамкулов Р. И.- Первый заместитель главы администрации Урупского муниципального района, председатель комиссии;</w:t>
            </w:r>
          </w:p>
          <w:p>
            <w:pPr>
              <w:pStyle w:val="Normal"/>
              <w:widowControl w:val="false"/>
              <w:tabs>
                <w:tab w:val="clear" w:pos="708"/>
                <w:tab w:val="left" w:pos="567" w:leader="none"/>
              </w:tabs>
              <w:suppressAutoHyphens w:val="false"/>
              <w:spacing w:before="0" w:after="280"/>
              <w:rPr>
                <w:rFonts w:cs="Times New Roman"/>
                <w:bCs/>
                <w:color w:val="000000"/>
                <w:sz w:val="24"/>
                <w:szCs w:val="24"/>
                <w:lang w:val="ru-RU"/>
              </w:rPr>
            </w:pPr>
            <w:r>
              <w:rPr>
                <w:rFonts w:cs="Times New Roman"/>
                <w:bCs/>
                <w:color w:val="000000"/>
                <w:sz w:val="24"/>
                <w:szCs w:val="24"/>
                <w:lang w:val="ru-RU"/>
              </w:rPr>
              <w:t>Мархель Ю.В.- начальник отдела социально-экономического развития, бухгалтерского учета  и имущественных отношений администрации Урупского муниципального района, секретарь комиссии;</w:t>
            </w:r>
          </w:p>
          <w:p>
            <w:pPr>
              <w:pStyle w:val="Normal"/>
              <w:widowControl w:val="false"/>
              <w:tabs>
                <w:tab w:val="clear" w:pos="708"/>
                <w:tab w:val="left" w:pos="567" w:leader="none"/>
              </w:tabs>
              <w:suppressAutoHyphens w:val="false"/>
              <w:rPr>
                <w:sz w:val="24"/>
                <w:szCs w:val="24"/>
                <w:lang w:val="ru-RU"/>
              </w:rPr>
            </w:pPr>
            <w:r>
              <w:rPr>
                <w:sz w:val="24"/>
                <w:szCs w:val="24"/>
                <w:lang w:val="ru-RU"/>
              </w:rPr>
              <w:t>Байрамкулов М.А.-юрисконсульт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lang w:val="ru-RU"/>
              </w:rPr>
            </w:pPr>
            <w:r>
              <w:rPr>
                <w:sz w:val="24"/>
                <w:szCs w:val="24"/>
                <w:lang w:val="ru-RU"/>
              </w:rPr>
              <w:t>Тинт О. В.- ведущий специалист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rPr>
            </w:pPr>
            <w:r>
              <w:rPr>
                <w:sz w:val="24"/>
                <w:szCs w:val="24"/>
                <w:lang w:val="ru-RU"/>
              </w:rPr>
              <w:t>Бостанова М.М.-</w:t>
            </w:r>
            <w:r>
              <w:rPr>
                <w:bCs/>
                <w:sz w:val="24"/>
                <w:szCs w:val="24"/>
                <w:lang w:val="ru-RU"/>
              </w:rPr>
              <w:t>.заместитель начальника – главный бухгалтер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spacing w:before="280" w:after="0"/>
              <w:ind w:left="0" w:right="0" w:firstLine="540"/>
              <w:jc w:val="both"/>
              <w:rPr>
                <w:rFonts w:cs="Times New Roman"/>
                <w:bCs/>
                <w:color w:val="000000"/>
                <w:sz w:val="24"/>
                <w:szCs w:val="24"/>
                <w:lang w:val="ru-RU" w:eastAsia="en-US"/>
              </w:rPr>
            </w:pPr>
            <w:r>
              <w:rPr>
                <w:rFonts w:cs="Times New Roman"/>
                <w:bCs/>
                <w:color w:val="000000"/>
                <w:sz w:val="24"/>
                <w:szCs w:val="24"/>
                <w:lang w:val="ru-RU" w:eastAsia="en-US"/>
              </w:rPr>
              <w:t>Ответственный за заключение контракта – Тинт О. В.</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Специализированная организация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привлекалась</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sz w:val="24"/>
                <w:szCs w:val="24"/>
                <w:lang w:eastAsia="en-US"/>
              </w:rPr>
            </w:pPr>
            <w:r>
              <w:rPr>
                <w:b/>
                <w:sz w:val="24"/>
                <w:szCs w:val="24"/>
                <w:lang w:eastAsia="en-US"/>
              </w:rPr>
              <w:t>Основная информация о закупке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Идентификационный код закупки (ИКЗ)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color w:val="000000"/>
              </w:rPr>
            </w:pPr>
            <w:r>
              <w:rPr>
                <w:rFonts w:cs="Times New Roman"/>
                <w:color w:val="000000"/>
                <w:sz w:val="24"/>
                <w:szCs w:val="24"/>
                <w:lang w:eastAsia="en-US"/>
              </w:rPr>
              <w:t>2330912000569091201001000300</w:t>
            </w:r>
            <w:r>
              <w:rPr>
                <w:rFonts w:cs="Times New Roman"/>
                <w:color w:val="000000"/>
                <w:sz w:val="24"/>
                <w:szCs w:val="24"/>
                <w:lang w:eastAsia="en-US"/>
              </w:rPr>
              <w:t>3</w:t>
            </w:r>
            <w:r>
              <w:rPr>
                <w:rFonts w:cs="Times New Roman"/>
                <w:color w:val="000000"/>
                <w:sz w:val="24"/>
                <w:szCs w:val="24"/>
                <w:lang w:eastAsia="en-US"/>
              </w:rPr>
              <w:t>1920244</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Способ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Открытый аукцион в электронной форме (электронный аукцион)</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Адрес в сети Интернет электронной площадки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http://www.sberbank-ast.ru</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объекта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right" w:pos="8022" w:leader="none"/>
              </w:tabs>
              <w:snapToGrid w:val="false"/>
              <w:spacing w:lineRule="auto" w:line="240" w:before="280" w:after="280"/>
              <w:ind w:left="69" w:right="-108" w:hanging="0"/>
              <w:jc w:val="left"/>
              <w:rPr>
                <w:sz w:val="24"/>
                <w:szCs w:val="24"/>
              </w:rPr>
            </w:pPr>
            <w:r>
              <w:rPr>
                <w:rFonts w:cs="Times New Roman"/>
                <w:b/>
                <w:bCs/>
                <w:color w:val="000000"/>
                <w:sz w:val="24"/>
                <w:szCs w:val="24"/>
                <w:lang w:val="ru-RU" w:eastAsia="en-US"/>
              </w:rPr>
              <w:t xml:space="preserve">Поставка бензина АИ-92 на </w:t>
            </w:r>
            <w:r>
              <w:rPr>
                <w:rFonts w:cs="Times New Roman"/>
                <w:b/>
                <w:bCs/>
                <w:color w:val="000000"/>
                <w:sz w:val="24"/>
                <w:szCs w:val="24"/>
                <w:lang w:val="ru-RU" w:eastAsia="zh-CN"/>
              </w:rPr>
              <w:t>2</w:t>
            </w:r>
            <w:r>
              <w:rPr>
                <w:rFonts w:cs="Times New Roman"/>
                <w:b/>
                <w:bCs/>
                <w:color w:val="000000"/>
                <w:sz w:val="24"/>
                <w:szCs w:val="24"/>
                <w:lang w:val="ru-RU" w:eastAsia="en-US"/>
              </w:rPr>
              <w:t>-е полугодие 20</w:t>
            </w:r>
            <w:r>
              <w:rPr>
                <w:rFonts w:cs="Times New Roman"/>
                <w:b/>
                <w:bCs/>
                <w:color w:val="000000"/>
                <w:sz w:val="24"/>
                <w:szCs w:val="24"/>
                <w:lang w:val="ru-RU" w:eastAsia="zh-CN"/>
              </w:rPr>
              <w:t xml:space="preserve">23 </w:t>
            </w:r>
            <w:r>
              <w:rPr>
                <w:rFonts w:cs="Times New Roman"/>
                <w:b/>
                <w:bCs/>
                <w:color w:val="000000"/>
                <w:sz w:val="24"/>
                <w:szCs w:val="24"/>
                <w:lang w:val="ru-RU" w:eastAsia="en-US"/>
              </w:rPr>
              <w:t>года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См. Приложение 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eastAsiaTheme="minorHAnsi"/>
                <w:sz w:val="24"/>
                <w:szCs w:val="24"/>
                <w:lang w:eastAsia="en-US"/>
              </w:rPr>
            </w:pPr>
            <w:r>
              <w:rPr>
                <w:rFonts w:eastAsia="Calibri" w:eastAsiaTheme="minorHAnsi"/>
                <w:sz w:val="24"/>
                <w:szCs w:val="24"/>
                <w:lang w:eastAsia="en-US"/>
              </w:rPr>
              <w:t>Максимальное значение цены контракта</w:t>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Начальная сумма цен единиц товара, работы, услуги</w:t>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Начальная цена единицы товара, работы, услуги</w:t>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color w:val="000000"/>
              </w:rPr>
            </w:pPr>
            <w:r>
              <w:rPr>
                <w:rFonts w:cs="Times New Roman"/>
                <w:color w:val="000000"/>
                <w:sz w:val="24"/>
                <w:szCs w:val="24"/>
                <w:lang w:eastAsia="en-US"/>
              </w:rPr>
              <w:t>633840,00 (</w:t>
            </w:r>
            <w:r>
              <w:rPr>
                <w:rFonts w:cs="Times New Roman"/>
                <w:color w:val="000000"/>
                <w:sz w:val="24"/>
                <w:szCs w:val="24"/>
                <w:lang w:val="ru-RU" w:eastAsia="en-US"/>
              </w:rPr>
              <w:t xml:space="preserve">Шестьсот тридцать три  тысячи восемьсот сорок </w:t>
            </w:r>
            <w:r>
              <w:rPr>
                <w:rFonts w:cs="Times New Roman"/>
                <w:color w:val="000000"/>
                <w:sz w:val="24"/>
                <w:szCs w:val="24"/>
                <w:lang w:eastAsia="en-US"/>
              </w:rPr>
              <w:t>) руб. 00 коп.</w:t>
            </w:r>
          </w:p>
          <w:p>
            <w:pPr>
              <w:pStyle w:val="Normal"/>
              <w:widowControl w:val="false"/>
              <w:rPr>
                <w:color w:val="000000"/>
              </w:rPr>
            </w:pPr>
            <w:r>
              <w:rPr>
                <w:color w:val="000000"/>
                <w:sz w:val="24"/>
                <w:szCs w:val="24"/>
              </w:rPr>
              <w:t>52,82</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lang w:eastAsia="en-US"/>
              </w:rPr>
            </w:pPr>
            <w:r>
              <w:rPr>
                <w:sz w:val="24"/>
                <w:szCs w:val="24"/>
                <w:lang w:eastAsia="en-US"/>
              </w:rPr>
              <w:t>См. Приложение 1</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Валюта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Российский рубль</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Источник финансирования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Бюджет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Размер аванса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Выплата аванса не предусмотрена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Информация о возможности заказчика заключить контракты с несколькими участниками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Не применяется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 процедуре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и время окончания срока подачи заявок</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cs="Times New Roman"/>
                <w:color w:val="000000"/>
                <w:sz w:val="24"/>
                <w:szCs w:val="24"/>
                <w:lang w:eastAsia="en-US"/>
              </w:rPr>
              <w:t>14.06.2023</w:t>
            </w:r>
            <w:r>
              <w:rPr>
                <w:color w:val="000000"/>
                <w:sz w:val="24"/>
                <w:szCs w:val="24"/>
                <w:lang w:eastAsia="en-US"/>
              </w:rPr>
              <w:t xml:space="preserve"> 09:00 </w:t>
            </w:r>
            <w:r>
              <w:rPr>
                <w:color w:val="000000"/>
                <w:sz w:val="24"/>
                <w:szCs w:val="24"/>
                <w:lang w:eastAsia="en-US"/>
              </w:rPr>
              <w:t>(время московское)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проведения процедуры подачи предложений о цене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color w:val="000000"/>
              </w:rPr>
            </w:pPr>
            <w:r>
              <w:rPr>
                <w:rFonts w:cs="Times New Roman"/>
                <w:color w:val="000000"/>
                <w:sz w:val="24"/>
                <w:szCs w:val="24"/>
                <w:lang w:eastAsia="en-US"/>
              </w:rPr>
              <w:t>14.06.2023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sz w:val="24"/>
                <w:szCs w:val="24"/>
                <w:lang w:eastAsia="en-US"/>
              </w:rPr>
              <w:t>Дата подведения итогов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sz w:val="24"/>
                <w:szCs w:val="24"/>
                <w:lang w:eastAsia="en-US"/>
              </w:rPr>
              <w:t>15.06.2023</w:t>
            </w:r>
            <w:r>
              <w:rPr>
                <w:color w:val="000000"/>
                <w:sz w:val="24"/>
                <w:szCs w:val="24"/>
                <w:lang w:eastAsia="en-US"/>
              </w:rPr>
              <w:t xml:space="preserve">– в течении 2 рабочих дней после окончания электронного аукциона </w:t>
            </w:r>
            <w:bookmarkStart w:id="1" w:name="_GoBack"/>
            <w:bookmarkEnd w:id="1"/>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участниках</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Преимущества и требования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Учреждениям и предприятиям уголовно-исполнительной системы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Организациям инвалидов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Участниками могут быть только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sz w:val="24"/>
                <w:szCs w:val="24"/>
                <w:lang w:eastAsia="en-US"/>
              </w:rPr>
            </w:pPr>
            <w:r>
              <w:rPr>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Привлечение субподрядчиков, соисполнителей из числа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предъявляется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 xml:space="preserve">Единые требования к участникам закупки (в соответствии с ч. 1 ст. 31 Федерального закона от 05.04.2013 № 44-ФЗ </w:t>
            </w:r>
            <w:r>
              <w:rPr/>
              <w:t>«О контрактной системе в сфере закупок товаров, работ, услуг для обеспечения государственных и муниципальных нужд» (далее – Закон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460"/>
              <w:jc w:val="both"/>
              <w:rPr>
                <w:sz w:val="24"/>
                <w:szCs w:val="24"/>
                <w:lang w:eastAsia="en-US"/>
              </w:rPr>
            </w:pPr>
            <w:r>
              <w:rPr>
                <w:sz w:val="24"/>
                <w:szCs w:val="24"/>
                <w:lang w:eastAsia="en-US"/>
              </w:rPr>
              <w:t>Предъявляются.</w:t>
            </w:r>
          </w:p>
          <w:p>
            <w:pPr>
              <w:pStyle w:val="Normal"/>
              <w:widowControl w:val="false"/>
              <w:ind w:firstLine="460"/>
              <w:jc w:val="both"/>
              <w:rPr>
                <w:sz w:val="24"/>
                <w:szCs w:val="24"/>
                <w:lang w:eastAsia="en-US"/>
              </w:rPr>
            </w:pPr>
            <w:r>
              <w:rPr>
                <w:sz w:val="24"/>
                <w:szCs w:val="24"/>
                <w:lang w:eastAsia="en-US"/>
              </w:rPr>
              <w:t>1. </w:t>
            </w:r>
            <w:r>
              <w:rPr>
                <w:rFonts w:eastAsia="Calibri" w:eastAsiaTheme="minorHAnsi"/>
                <w:sz w:val="24"/>
                <w:szCs w:val="24"/>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4"/>
                <w:szCs w:val="24"/>
                <w:lang w:eastAsia="en-US"/>
              </w:rPr>
              <w:t>:</w:t>
            </w:r>
          </w:p>
          <w:p>
            <w:pPr>
              <w:pStyle w:val="Normal"/>
              <w:widowControl w:val="false"/>
              <w:ind w:firstLine="460"/>
              <w:jc w:val="both"/>
              <w:rPr>
                <w:sz w:val="24"/>
                <w:szCs w:val="24"/>
                <w:lang w:eastAsia="en-US"/>
              </w:rPr>
            </w:pPr>
            <w:r>
              <w:rPr>
                <w:sz w:val="24"/>
                <w:szCs w:val="24"/>
                <w:lang w:eastAsia="en-US"/>
              </w:rPr>
              <w:t>не установлено.</w:t>
            </w:r>
          </w:p>
          <w:p>
            <w:pPr>
              <w:pStyle w:val="Normal"/>
              <w:widowControl w:val="false"/>
              <w:ind w:firstLine="460"/>
              <w:jc w:val="both"/>
              <w:rPr>
                <w:sz w:val="24"/>
                <w:szCs w:val="24"/>
                <w:lang w:eastAsia="en-US"/>
              </w:rPr>
            </w:pPr>
            <w:bookmarkStart w:id="2" w:name="_Hlk87347654"/>
            <w:bookmarkEnd w:id="2"/>
            <w:r>
              <w:rPr>
                <w:sz w:val="24"/>
                <w:szCs w:val="24"/>
                <w:lang w:eastAsia="en-US"/>
              </w:rPr>
              <w:t>2. Не</w:t>
            </w:r>
            <w:r>
              <w:rPr>
                <w:rFonts w:eastAsia="Calibri" w:eastAsiaTheme="minorHAnsi"/>
                <w:sz w:val="24"/>
                <w:szCs w:val="24"/>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lang w:eastAsia="en-US"/>
              </w:rPr>
              <w:t>.</w:t>
            </w:r>
          </w:p>
          <w:p>
            <w:pPr>
              <w:pStyle w:val="Normal"/>
              <w:widowControl w:val="false"/>
              <w:ind w:firstLine="460"/>
              <w:jc w:val="both"/>
              <w:rPr>
                <w:sz w:val="24"/>
                <w:szCs w:val="24"/>
                <w:lang w:eastAsia="en-US"/>
              </w:rPr>
            </w:pPr>
            <w:bookmarkStart w:id="3" w:name="_Hlk87347733"/>
            <w:bookmarkStart w:id="4" w:name="_Hlk873476541"/>
            <w:bookmarkEnd w:id="3"/>
            <w:bookmarkEnd w:id="4"/>
            <w:r>
              <w:rPr>
                <w:sz w:val="24"/>
                <w:szCs w:val="24"/>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pPr>
              <w:pStyle w:val="Normal"/>
              <w:widowControl w:val="false"/>
              <w:ind w:firstLine="460"/>
              <w:jc w:val="both"/>
              <w:rPr>
                <w:rFonts w:eastAsia="Calibri" w:eastAsiaTheme="minorHAnsi"/>
                <w:sz w:val="24"/>
                <w:szCs w:val="24"/>
                <w:lang w:eastAsia="en-US"/>
              </w:rPr>
            </w:pPr>
            <w:bookmarkStart w:id="5" w:name="_Hlk87347777"/>
            <w:bookmarkStart w:id="6" w:name="_Hlk873477331"/>
            <w:bookmarkEnd w:id="5"/>
            <w:bookmarkEnd w:id="6"/>
            <w:r>
              <w:rPr>
                <w:sz w:val="24"/>
                <w:szCs w:val="24"/>
                <w:lang w:eastAsia="en-US"/>
              </w:rPr>
              <w:t>4.</w:t>
            </w:r>
            <w:r>
              <w:rPr>
                <w:rFonts w:eastAsia="Calibri" w:eastAsiaTheme="minorHAnsi"/>
                <w:sz w:val="24"/>
                <w:szCs w:val="24"/>
                <w:lang w:eastAsia="en-US"/>
              </w:rPr>
              <w:t xml:space="preserve"> </w:t>
            </w:r>
            <w:r>
              <w:rPr>
                <w:rFonts w:eastAsia="Calibri" w:eastAsiaTheme="minorHAns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7" w:name="_Hlk87348099"/>
            <w:bookmarkStart w:id="8" w:name="_Hlk873477771"/>
            <w:bookmarkEnd w:id="7"/>
            <w:bookmarkEnd w:id="8"/>
            <w:r>
              <w:rPr>
                <w:sz w:val="24"/>
                <w:szCs w:val="24"/>
                <w:lang w:eastAsia="en-US"/>
              </w:rPr>
              <w:t xml:space="preserve">5. </w:t>
            </w:r>
            <w:r>
              <w:rPr>
                <w:rFonts w:eastAsia="Calibri" w:eastAsiaTheme="minorHAnsi"/>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Pr>
                <w:rFonts w:eastAsia="Calibri" w:eastAsiaTheme="minorHAnsi"/>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r>
              <w:rPr>
                <w:rFonts w:eastAsia="Calibri" w:eastAsiaTheme="minorHAnsi"/>
                <w:sz w:val="24"/>
                <w:szCs w:val="24"/>
                <w:lang w:eastAsia="en-US"/>
              </w:rPr>
              <w:t xml:space="preserve">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4"/>
                <w:szCs w:val="24"/>
                <w:lang w:eastAsia="en-US"/>
              </w:rPr>
              <w:t>.</w:t>
            </w:r>
          </w:p>
          <w:p>
            <w:pPr>
              <w:pStyle w:val="Normal"/>
              <w:widowControl w:val="false"/>
              <w:ind w:firstLine="460"/>
              <w:jc w:val="both"/>
              <w:rPr>
                <w:sz w:val="24"/>
                <w:szCs w:val="24"/>
                <w:lang w:eastAsia="en-US"/>
              </w:rPr>
            </w:pPr>
            <w:bookmarkStart w:id="9" w:name="_Hlk87348254"/>
            <w:bookmarkStart w:id="10" w:name="_Hlk873480991"/>
            <w:bookmarkEnd w:id="9"/>
            <w:bookmarkEnd w:id="10"/>
            <w:r>
              <w:rPr>
                <w:sz w:val="24"/>
                <w:szCs w:val="24"/>
                <w:lang w:eastAsia="en-US"/>
              </w:rPr>
              <w:t xml:space="preserve">6. </w:t>
            </w:r>
            <w:r>
              <w:rPr>
                <w:rFonts w:eastAsia="Calibri" w:eastAsiaTheme="minorHAnsi"/>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eastAsia="Calibri" w:eastAsiaTheme="minorHAnsi"/>
                <w:sz w:val="24"/>
                <w:szCs w:val="24"/>
              </w:rPr>
              <w:t>предусмотренного статьей 19.28</w:t>
            </w:r>
            <w:r>
              <w:rPr>
                <w:rFonts w:eastAsia="Calibri" w:eastAsiaTheme="minorHAnsi"/>
                <w:sz w:val="24"/>
                <w:szCs w:val="24"/>
                <w:lang w:eastAsia="en-US"/>
              </w:rPr>
              <w:t xml:space="preserve"> Кодекса Российской Федерации об административных правонарушениях</w:t>
            </w:r>
            <w:r>
              <w:rPr>
                <w:sz w:val="24"/>
                <w:szCs w:val="24"/>
                <w:lang w:eastAsia="en-US"/>
              </w:rPr>
              <w:t>.</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Не установлено:</w:t>
            </w:r>
          </w:p>
          <w:p>
            <w:pPr>
              <w:pStyle w:val="Normal"/>
              <w:widowControl w:val="false"/>
              <w:ind w:firstLine="460"/>
              <w:jc w:val="both"/>
              <w:rPr>
                <w:rFonts w:eastAsia="Calibri" w:eastAsiaTheme="minorHAnsi"/>
                <w:sz w:val="24"/>
                <w:szCs w:val="24"/>
                <w:lang w:eastAsia="en-US"/>
              </w:rPr>
            </w:pPr>
            <w:bookmarkStart w:id="11" w:name="_Hlk873482541"/>
            <w:bookmarkEnd w:id="11"/>
            <w:r>
              <w:rPr>
                <w:sz w:val="24"/>
                <w:szCs w:val="24"/>
                <w:lang w:eastAsia="en-US"/>
              </w:rPr>
              <w:t>8.</w:t>
            </w:r>
            <w:r>
              <w:rPr>
                <w:rFonts w:eastAsia="Calibri" w:eastAsiaTheme="minorHAnsi"/>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2" w:name="_Hlk87348383"/>
            <w:bookmarkEnd w:id="12"/>
          </w:p>
          <w:p>
            <w:pPr>
              <w:pStyle w:val="Normal"/>
              <w:widowControl w:val="false"/>
              <w:ind w:firstLine="460"/>
              <w:jc w:val="both"/>
              <w:rPr>
                <w:sz w:val="24"/>
                <w:szCs w:val="24"/>
                <w:lang w:eastAsia="en-US"/>
              </w:rPr>
            </w:pPr>
            <w:r>
              <w:rPr>
                <w:sz w:val="24"/>
                <w:szCs w:val="24"/>
                <w:lang w:eastAsia="en-US"/>
              </w:rPr>
              <w:t xml:space="preserve">9. </w:t>
            </w:r>
            <w:r>
              <w:rPr>
                <w:rFonts w:eastAsia="Calibri" w:eastAsiaTheme="minorHAnsi"/>
                <w:sz w:val="24"/>
                <w:szCs w:val="24"/>
                <w:lang w:eastAsia="en-US"/>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13" w:name="_Hlk87348793"/>
            <w:r>
              <w:rPr>
                <w:sz w:val="24"/>
                <w:szCs w:val="24"/>
                <w:lang w:eastAsia="en-US"/>
              </w:rPr>
              <w:t xml:space="preserve">10. </w:t>
            </w:r>
            <w:r>
              <w:rPr>
                <w:rFonts w:eastAsia="Calibri" w:eastAsiaTheme="minorHAnsi"/>
                <w:sz w:val="24"/>
                <w:szCs w:val="24"/>
                <w:lang w:eastAsia="en-US"/>
              </w:rPr>
              <w:t>отсутствие у участника закупки ограничений для участия в закупках, установленных законодательством Российской Федерации</w:t>
            </w:r>
            <w:bookmarkEnd w:id="13"/>
            <w:r>
              <w:rPr>
                <w:sz w:val="24"/>
                <w:szCs w:val="24"/>
                <w:lang w:eastAsia="en-US"/>
              </w:rPr>
              <w:t>.</w:t>
            </w:r>
          </w:p>
          <w:p>
            <w:pPr>
              <w:pStyle w:val="Normal"/>
              <w:widowControl w:val="false"/>
              <w:ind w:firstLine="460"/>
              <w:jc w:val="both"/>
              <w:rPr>
                <w:sz w:val="24"/>
                <w:szCs w:val="24"/>
                <w:lang w:eastAsia="en-US"/>
              </w:rPr>
            </w:pPr>
            <w:r>
              <w:rPr>
                <w:sz w:val="24"/>
                <w:szCs w:val="24"/>
                <w:lang w:eastAsia="en-US"/>
              </w:rPr>
            </w:r>
          </w:p>
          <w:p>
            <w:pPr>
              <w:pStyle w:val="Normal"/>
              <w:widowControl w:val="false"/>
              <w:ind w:firstLine="460"/>
              <w:jc w:val="both"/>
              <w:rPr>
                <w:sz w:val="24"/>
                <w:szCs w:val="24"/>
                <w:lang w:eastAsia="en-US"/>
              </w:rPr>
            </w:pPr>
            <w:r>
              <w:rPr>
                <w:sz w:val="24"/>
                <w:szCs w:val="24"/>
                <w:lang w:eastAsia="en-US"/>
              </w:rPr>
              <w:t>Соответствие участника закупки требованиям, установленным в п. п. 2 - 6, 8 - 10 настоящего раздела, подтверждается декларацией о соответствии участника требованиям</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Требования к участникам закупки в соответствии с ч. 1.1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318"/>
              <w:rPr>
                <w:sz w:val="24"/>
                <w:szCs w:val="24"/>
                <w:lang w:eastAsia="en-US"/>
              </w:rPr>
            </w:pPr>
            <w:r>
              <w:rPr>
                <w:sz w:val="24"/>
                <w:szCs w:val="24"/>
                <w:lang w:eastAsia="en-US"/>
              </w:rPr>
              <w:t>Предъявляются.</w:t>
            </w:r>
          </w:p>
          <w:p>
            <w:pPr>
              <w:pStyle w:val="Normal"/>
              <w:widowControl w:val="false"/>
              <w:ind w:firstLine="318"/>
              <w:jc w:val="both"/>
              <w:rPr>
                <w:sz w:val="24"/>
                <w:szCs w:val="24"/>
                <w:lang w:eastAsia="en-US"/>
              </w:rPr>
            </w:pPr>
            <w:r>
              <w:rPr>
                <w:sz w:val="24"/>
                <w:szCs w:val="24"/>
                <w:lang w:eastAsia="en-US"/>
              </w:rPr>
              <w:t>В реестре недобросовестных поставщиков (подрядчиков, исполнителей), предусмотренном Закона № 44-ФЗ, должна отсутствовать информация об участнике закупки, в том числе информация о лицах, указанных в п. п. 2, 3 ч. 3 ст. 104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Дополнительные требования к участникам закупки в соответствии с ч. 2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Дополнительное требование к участникам закупки в соответствии с ч. 2.1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установлено</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Банковское или казначейское сопровождение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требуется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условиях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sz w:val="24"/>
                <w:szCs w:val="24"/>
                <w:lang w:eastAsia="en-US"/>
              </w:rPr>
              <w:t xml:space="preserve">Место </w:t>
            </w:r>
            <w:r>
              <w:rPr>
                <w:rFonts w:eastAsia="Calibri" w:eastAsiaTheme="minorHAnsi"/>
                <w:sz w:val="24"/>
                <w:szCs w:val="24"/>
                <w:lang w:eastAsia="en-US"/>
              </w:rPr>
              <w:t>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работы или оказания услуги</w:t>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0"/>
              <w:rPr>
                <w:sz w:val="24"/>
                <w:szCs w:val="24"/>
                <w:lang w:eastAsia="en-US"/>
              </w:rPr>
            </w:pPr>
            <w:r>
              <w:rPr>
                <w:rFonts w:cs="Times New Roman"/>
                <w:color w:val="000000"/>
                <w:sz w:val="24"/>
                <w:szCs w:val="24"/>
                <w:lang w:val="ru-RU" w:eastAsia="en-US"/>
              </w:rPr>
              <w:t>_</w:t>
            </w:r>
            <w:r>
              <w:rPr>
                <w:rFonts w:eastAsia="Lucida Sans Unicode" w:cs="Times New Roman"/>
                <w:iCs/>
                <w:color w:val="000000"/>
                <w:kern w:val="2"/>
                <w:sz w:val="24"/>
                <w:szCs w:val="24"/>
                <w:lang w:val="ru-RU" w:eastAsia="hi-IN" w:bidi="hi-IN"/>
              </w:rPr>
              <w:t xml:space="preserve">АЗС должна находиться </w:t>
            </w:r>
            <w:r>
              <w:rPr>
                <w:rFonts w:eastAsia="Lucida Sans Unicode" w:cs="Times New Roman"/>
                <w:iCs/>
                <w:color w:val="000000"/>
                <w:kern w:val="2"/>
                <w:sz w:val="24"/>
                <w:szCs w:val="24"/>
                <w:shd w:fill="auto" w:val="clear"/>
                <w:lang w:val="ru-RU" w:eastAsia="hi-IN" w:bidi="hi-IN"/>
              </w:rPr>
              <w:t>в Урупском муниципальном районе и на всей территории Карачаево-Черкесской Республики.</w:t>
            </w:r>
          </w:p>
          <w:p>
            <w:pPr>
              <w:pStyle w:val="Normal"/>
              <w:widowControl w:val="false"/>
              <w:rPr>
                <w:sz w:val="24"/>
                <w:szCs w:val="24"/>
                <w:lang w:eastAsia="en-US"/>
              </w:rPr>
            </w:pPr>
            <w:r>
              <w:rPr>
                <w:sz w:val="24"/>
                <w:szCs w:val="24"/>
                <w:lang w:eastAsia="en-US"/>
              </w:rPr>
            </w:r>
          </w:p>
          <w:p>
            <w:pPr>
              <w:pStyle w:val="Normal"/>
              <w:widowControl w:val="false"/>
              <w:rPr>
                <w:sz w:val="24"/>
                <w:szCs w:val="24"/>
                <w:lang w:eastAsia="en-US"/>
              </w:rPr>
            </w:pPr>
            <w:r>
              <w:rPr>
                <w:sz w:val="24"/>
                <w:szCs w:val="24"/>
                <w:lang w:eastAsia="en-US"/>
              </w:rPr>
              <w:t>См. Приложение 3</w:t>
            </w:r>
          </w:p>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Срок исполнения контракта (отдельных этапов исполнения контракта, если проектом контракта предусмотрены такие этапы)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4"/>
                <w:szCs w:val="24"/>
                <w:lang w:eastAsia="en-US"/>
              </w:rPr>
            </w:pPr>
            <w:r>
              <w:rPr>
                <w:rFonts w:cs="Times New Roman"/>
                <w:color w:val="000000"/>
                <w:sz w:val="26"/>
                <w:szCs w:val="26"/>
                <w:lang w:val="ru-RU" w:eastAsia="en-US"/>
              </w:rPr>
              <w:t xml:space="preserve"> </w:t>
            </w:r>
            <w:r>
              <w:rPr>
                <w:rFonts w:cs="Times New Roman"/>
                <w:bCs/>
                <w:color w:val="000000"/>
                <w:sz w:val="24"/>
                <w:szCs w:val="24"/>
                <w:lang w:val="ru-RU" w:eastAsia="en-US"/>
              </w:rPr>
              <w:t>ежедневно на АЗС</w:t>
            </w:r>
            <w:r>
              <w:rPr>
                <w:rFonts w:cs="Times New Roman"/>
                <w:bCs/>
                <w:color w:val="000000"/>
                <w:sz w:val="24"/>
                <w:szCs w:val="24"/>
                <w:shd w:fill="auto" w:val="clear"/>
                <w:lang w:val="ru-RU" w:eastAsia="en-US"/>
              </w:rPr>
              <w:t xml:space="preserve"> с 01 июля 2023 года до 31</w:t>
            </w:r>
            <w:r>
              <w:rPr>
                <w:rFonts w:eastAsia="Times New Roman" w:cs="Times New Roman"/>
                <w:bCs/>
                <w:color w:val="000000"/>
                <w:sz w:val="24"/>
                <w:szCs w:val="24"/>
                <w:shd w:fill="auto" w:val="clear"/>
                <w:lang w:val="ru-RU" w:eastAsia="zh-CN" w:bidi="ar-SA"/>
              </w:rPr>
              <w:t xml:space="preserve"> декабря</w:t>
            </w:r>
            <w:r>
              <w:rPr>
                <w:rFonts w:cs="Times New Roman"/>
                <w:bCs/>
                <w:color w:val="000000"/>
                <w:sz w:val="24"/>
                <w:szCs w:val="24"/>
                <w:shd w:fill="auto" w:val="clear"/>
                <w:lang w:val="ru-RU" w:eastAsia="zh-CN"/>
              </w:rPr>
              <w:t xml:space="preserve"> </w:t>
            </w:r>
            <w:r>
              <w:rPr>
                <w:rFonts w:cs="Times New Roman"/>
                <w:bCs/>
                <w:color w:val="000000"/>
                <w:sz w:val="24"/>
                <w:szCs w:val="24"/>
                <w:shd w:fill="auto" w:val="clear"/>
                <w:lang w:val="ru-RU" w:eastAsia="en-US"/>
              </w:rPr>
              <w:t>20</w:t>
            </w:r>
            <w:r>
              <w:rPr>
                <w:rFonts w:cs="Times New Roman"/>
                <w:bCs/>
                <w:color w:val="000000"/>
                <w:sz w:val="24"/>
                <w:szCs w:val="24"/>
                <w:shd w:fill="auto" w:val="clear"/>
                <w:lang w:val="ru-RU" w:eastAsia="zh-CN"/>
              </w:rPr>
              <w:t>23</w:t>
            </w:r>
            <w:r>
              <w:rPr>
                <w:rFonts w:cs="Times New Roman"/>
                <w:bCs/>
                <w:color w:val="000000"/>
                <w:sz w:val="24"/>
                <w:szCs w:val="24"/>
                <w:shd w:fill="auto" w:val="clear"/>
                <w:lang w:val="ru-RU" w:eastAsia="en-US"/>
              </w:rPr>
              <w:t xml:space="preserve"> года</w:t>
            </w:r>
            <w:r>
              <w:rPr>
                <w:rFonts w:cs="Times New Roman"/>
                <w:bCs/>
                <w:color w:val="000000"/>
                <w:sz w:val="24"/>
                <w:szCs w:val="24"/>
                <w:lang w:val="ru-RU" w:eastAsia="en-US"/>
              </w:rPr>
              <w:t xml:space="preserve"> с помощью системы топливных  карт.</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Этапы исполнения контракта (сроки исполнения этапов)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Календарный месяц</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eastAsiaTheme="minorHAnsi"/>
                <w:sz w:val="24"/>
                <w:szCs w:val="24"/>
              </w:rPr>
            </w:pPr>
            <w:r>
              <w:rPr>
                <w:rFonts w:eastAsia="Calibri" w:eastAsiaTheme="minorHAnsi"/>
                <w:sz w:val="24"/>
                <w:szCs w:val="24"/>
              </w:rPr>
              <w:t xml:space="preserve">Информация о количестве (за исключением случая, предусмотренного частью 24 статьи 22 настоящего Федерального закона), единице измерения и </w:t>
            </w:r>
            <w:r>
              <w:rPr>
                <w:rFonts w:eastAsia="Calibri" w:eastAsiaTheme="minorHAnsi"/>
                <w:b/>
                <w:bCs/>
                <w:sz w:val="24"/>
                <w:szCs w:val="24"/>
              </w:rPr>
              <w:t>месте поставки товара</w:t>
            </w:r>
            <w:r>
              <w:rPr>
                <w:rFonts w:eastAsia="Calibri" w:eastAsiaTheme="minorHAnsi"/>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val="en-US" w:eastAsia="en-US"/>
              </w:rPr>
            </w:pPr>
            <w:r>
              <w:rPr>
                <w:sz w:val="24"/>
                <w:szCs w:val="24"/>
                <w:lang w:eastAsia="en-US"/>
              </w:rPr>
              <w:t>См. Приложение 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 xml:space="preserve">Информация о возможности одностороннего отказа от исполнения контракта в соответствии со ст. 95 </w:t>
            </w:r>
            <w:r>
              <w:rPr>
                <w:rFonts w:eastAsia="Calibri" w:eastAsiaTheme="minorHAnsi"/>
                <w:sz w:val="24"/>
                <w:szCs w:val="24"/>
              </w:rPr>
              <w:t>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Такая возможность допускается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sz w:val="24"/>
                <w:szCs w:val="24"/>
                <w:lang w:eastAsia="en-US"/>
              </w:rPr>
            </w:pPr>
            <w:r>
              <w:rPr>
                <w:b/>
                <w:sz w:val="24"/>
                <w:szCs w:val="24"/>
                <w:lang w:eastAsia="en-US"/>
              </w:rPr>
              <w:t>Сведения об обеспечении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требуются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4" w:name="_Hlk87348845"/>
            <w:bookmarkEnd w:id="14"/>
            <w:r>
              <w:rPr>
                <w:sz w:val="24"/>
                <w:szCs w:val="24"/>
                <w:lang w:eastAsia="en-US"/>
              </w:rPr>
              <w:t>Размер обеспечения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Не установлено</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5" w:name="_Hlk87349002"/>
            <w:bookmarkStart w:id="16" w:name="_Hlk873488451"/>
            <w:bookmarkEnd w:id="16"/>
            <w:r>
              <w:rPr>
                <w:sz w:val="24"/>
                <w:szCs w:val="24"/>
                <w:lang w:eastAsia="en-US"/>
              </w:rPr>
              <w:t>Порядок внесения денежных средств в качестве обеспечения заявки, условия независимой гарантии</w:t>
            </w:r>
            <w:bookmarkEnd w:id="15"/>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18"/>
              <w:rPr>
                <w:sz w:val="24"/>
                <w:szCs w:val="24"/>
                <w:lang w:eastAsia="en-US"/>
              </w:rPr>
            </w:pPr>
            <w:r>
              <w:rPr>
                <w:sz w:val="24"/>
                <w:szCs w:val="24"/>
                <w:lang w:eastAsia="en-US"/>
              </w:rPr>
              <w:t>-</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исполнения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7" w:name="_Hlk87349191"/>
            <w:r>
              <w:rPr>
                <w:sz w:val="24"/>
                <w:szCs w:val="24"/>
                <w:lang w:eastAsia="en-US"/>
              </w:rPr>
              <w:t>Размер обеспечения исполнения контракта</w:t>
            </w:r>
            <w:bookmarkEnd w:id="17"/>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ind w:left="113" w:right="113" w:hanging="0"/>
              <w:jc w:val="both"/>
              <w:rPr>
                <w:sz w:val="24"/>
                <w:szCs w:val="24"/>
              </w:rPr>
            </w:pPr>
            <w:r>
              <w:rPr>
                <w:rFonts w:cs="Times New Roman"/>
                <w:bCs/>
                <w:color w:val="000000"/>
                <w:sz w:val="24"/>
                <w:szCs w:val="24"/>
              </w:rPr>
              <w:t>31692,00</w:t>
            </w:r>
            <w:r>
              <w:rPr>
                <w:bCs/>
                <w:color w:val="000000"/>
                <w:sz w:val="24"/>
                <w:szCs w:val="24"/>
              </w:rPr>
              <w:t xml:space="preserve"> рублей</w:t>
            </w:r>
            <w:r>
              <w:rPr>
                <w:bCs/>
                <w:sz w:val="24"/>
                <w:szCs w:val="24"/>
              </w:rPr>
              <w:t xml:space="preserve"> (5% от начальной (максимальной) цены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8" w:name="_Hlk87349299"/>
            <w:r>
              <w:rPr>
                <w:sz w:val="24"/>
                <w:szCs w:val="24"/>
                <w:lang w:eastAsia="en-US"/>
              </w:rPr>
              <w:t>Порядок предоставления обеспечения исполнения контракта</w:t>
            </w:r>
            <w:bookmarkEnd w:id="18"/>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460"/>
              <w:rPr>
                <w:sz w:val="24"/>
                <w:szCs w:val="24"/>
                <w:lang w:eastAsia="en-US"/>
              </w:rPr>
            </w:pPr>
            <w:bookmarkStart w:id="19" w:name="_Hlk87349334"/>
            <w:r>
              <w:rPr>
                <w:sz w:val="24"/>
                <w:szCs w:val="24"/>
                <w:lang w:eastAsia="en-US"/>
              </w:rPr>
              <w:t>Обеспечение исполнения контракта предоставляется в виде независимой гарантии, соответствующей требованиям ст. ст. 45, 96 Закона № 44-ФЗ, или внесением денежных средств на указанный заказчиком счет.</w:t>
            </w:r>
            <w:bookmarkEnd w:id="19"/>
          </w:p>
          <w:p>
            <w:pPr>
              <w:pStyle w:val="Normal"/>
              <w:widowControl w:val="false"/>
              <w:ind w:firstLine="460"/>
              <w:rPr>
                <w:sz w:val="24"/>
                <w:szCs w:val="24"/>
                <w:lang w:eastAsia="en-US"/>
              </w:rPr>
            </w:pPr>
            <w:r>
              <w:rPr>
                <w:sz w:val="24"/>
                <w:szCs w:val="24"/>
                <w:lang w:eastAsia="en-US"/>
              </w:rPr>
              <w:t>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p>
            <w:pPr>
              <w:pStyle w:val="Normal"/>
              <w:widowControl w:val="false"/>
              <w:ind w:firstLine="458"/>
              <w:jc w:val="both"/>
              <w:rPr>
                <w:sz w:val="24"/>
                <w:szCs w:val="24"/>
              </w:rPr>
            </w:pPr>
            <w:r>
              <w:rPr>
                <w:sz w:val="24"/>
                <w:szCs w:val="24"/>
              </w:rPr>
              <w:t>В случае 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установленного с учетом положений статьи 37 Закона № 44-ФЗ.</w:t>
            </w:r>
          </w:p>
          <w:p>
            <w:pPr>
              <w:pStyle w:val="Normal"/>
              <w:widowControl w:val="false"/>
              <w:ind w:firstLine="540"/>
              <w:jc w:val="both"/>
              <w:rPr>
                <w:sz w:val="24"/>
                <w:szCs w:val="24"/>
              </w:rPr>
            </w:pPr>
            <w:r>
              <w:rPr>
                <w:sz w:val="24"/>
                <w:szCs w:val="24"/>
              </w:rPr>
              <w:t xml:space="preserve">Предоставление обеспечения исполнения контракта, обеспечения гарантийных обязательств, </w:t>
            </w:r>
            <w:r>
              <w:rPr>
                <w:color w:val="22272F"/>
                <w:sz w:val="24"/>
                <w:szCs w:val="24"/>
                <w:shd w:fill="FFFFFF" w:val="clear"/>
              </w:rPr>
              <w:t>в том числе с учетом положений </w:t>
            </w:r>
            <w:r>
              <w:rPr>
                <w:sz w:val="24"/>
                <w:szCs w:val="24"/>
                <w:shd w:fill="FFFFFF" w:val="clear"/>
              </w:rPr>
              <w:t>статьи 37</w:t>
            </w:r>
            <w:r>
              <w:rPr>
                <w:color w:val="22272F"/>
                <w:sz w:val="24"/>
                <w:szCs w:val="24"/>
                <w:shd w:fill="FFFFFF" w:val="clear"/>
              </w:rPr>
              <w:t> </w:t>
            </w:r>
            <w:r>
              <w:rPr>
                <w:sz w:val="24"/>
                <w:szCs w:val="24"/>
              </w:rPr>
              <w:t>Закона № 44-ФЗ, не требуется в случае:</w:t>
            </w:r>
          </w:p>
          <w:p>
            <w:pPr>
              <w:pStyle w:val="Normal"/>
              <w:widowControl w:val="false"/>
              <w:ind w:firstLine="459"/>
              <w:jc w:val="both"/>
              <w:rPr>
                <w:sz w:val="24"/>
                <w:szCs w:val="24"/>
              </w:rPr>
            </w:pPr>
            <w:r>
              <w:rPr>
                <w:sz w:val="24"/>
                <w:szCs w:val="24"/>
              </w:rPr>
              <w:t>1) заключения контракта с участником закупки, который является казенным учреждением;</w:t>
            </w:r>
          </w:p>
          <w:p>
            <w:pPr>
              <w:pStyle w:val="Normal"/>
              <w:widowControl w:val="false"/>
              <w:ind w:firstLine="459"/>
              <w:jc w:val="both"/>
              <w:rPr>
                <w:sz w:val="24"/>
                <w:szCs w:val="24"/>
              </w:rPr>
            </w:pPr>
            <w:r>
              <w:rPr>
                <w:sz w:val="24"/>
                <w:szCs w:val="24"/>
              </w:rPr>
              <w:t>2) осуществления закупки услуги по предоставлению кредита;</w:t>
            </w:r>
          </w:p>
          <w:p>
            <w:pPr>
              <w:pStyle w:val="Normal"/>
              <w:widowControl w:val="false"/>
              <w:ind w:firstLine="459"/>
              <w:jc w:val="both"/>
              <w:rPr>
                <w:sz w:val="24"/>
                <w:szCs w:val="24"/>
              </w:rPr>
            </w:pPr>
            <w:r>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pPr>
              <w:pStyle w:val="Normal"/>
              <w:widowControl w:val="false"/>
              <w:ind w:firstLine="459"/>
              <w:jc w:val="both"/>
              <w:rPr>
                <w:sz w:val="24"/>
                <w:szCs w:val="24"/>
              </w:rPr>
            </w:pPr>
            <w:r>
              <w:rPr>
                <w:sz w:val="24"/>
                <w:szCs w:val="24"/>
              </w:rPr>
            </w:r>
          </w:p>
          <w:p>
            <w:pPr>
              <w:pStyle w:val="Normal"/>
              <w:widowControl w:val="false"/>
              <w:ind w:firstLine="459"/>
              <w:jc w:val="both"/>
              <w:rPr>
                <w:sz w:val="24"/>
                <w:szCs w:val="24"/>
              </w:rPr>
            </w:pPr>
            <w:r>
              <w:rPr>
                <w:sz w:val="24"/>
                <w:szCs w:val="24"/>
              </w:rPr>
              <w:t>Предоставление обеспечения исполнения контракта, обеспечения гарантийных обязательств не требуется в случае, установленном частью 8.1. статьи 96 Закона № 44-ФЗ</w:t>
            </w:r>
          </w:p>
          <w:p>
            <w:pPr>
              <w:pStyle w:val="Normal"/>
              <w:widowControl w:val="false"/>
              <w:ind w:firstLine="454"/>
              <w:jc w:val="both"/>
              <w:rPr>
                <w:sz w:val="24"/>
                <w:szCs w:val="24"/>
                <w:lang w:eastAsia="en-US"/>
              </w:rPr>
            </w:pPr>
            <w:r>
              <w:rPr>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положениями частей 7-7.3 статьи 96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исполнения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rFonts w:cs="Times New Roman"/>
                <w:color w:val="000000"/>
                <w:sz w:val="24"/>
                <w:szCs w:val="24"/>
                <w:lang w:val="ru-RU"/>
              </w:rPr>
            </w:pPr>
            <w:r>
              <w:rPr>
                <w:rFonts w:cs="Times New Roman"/>
                <w:color w:val="000000"/>
                <w:sz w:val="24"/>
                <w:szCs w:val="24"/>
                <w:lang w:val="ru-RU"/>
              </w:rPr>
              <w:t>Получатель: Администрация Урупского муниципального района</w:t>
            </w:r>
          </w:p>
          <w:p>
            <w:pPr>
              <w:pStyle w:val="Normal"/>
              <w:widowControl w:val="false"/>
              <w:tabs>
                <w:tab w:val="clear" w:pos="708"/>
                <w:tab w:val="center" w:pos="7689" w:leader="none"/>
              </w:tabs>
              <w:spacing w:before="0" w:after="0"/>
              <w:rPr>
                <w:bCs/>
                <w:iCs/>
                <w:sz w:val="24"/>
                <w:szCs w:val="24"/>
              </w:rPr>
            </w:pPr>
            <w:r>
              <w:rPr>
                <w:bCs/>
                <w:iCs/>
                <w:sz w:val="24"/>
                <w:szCs w:val="24"/>
              </w:rPr>
              <w:t>ИНН 0912000569</w:t>
            </w:r>
          </w:p>
          <w:p>
            <w:pPr>
              <w:pStyle w:val="Normal"/>
              <w:widowControl w:val="false"/>
              <w:tabs>
                <w:tab w:val="clear" w:pos="708"/>
                <w:tab w:val="center" w:pos="7689" w:leader="none"/>
              </w:tabs>
              <w:spacing w:before="0" w:after="0"/>
              <w:jc w:val="both"/>
              <w:rPr>
                <w:bCs/>
                <w:iCs/>
                <w:sz w:val="24"/>
                <w:szCs w:val="24"/>
                <w:lang w:val="ru-RU"/>
              </w:rPr>
            </w:pPr>
            <w:r>
              <w:rPr>
                <w:bCs/>
                <w:iCs/>
                <w:sz w:val="24"/>
                <w:szCs w:val="24"/>
                <w:lang w:val="ru-RU"/>
              </w:rPr>
              <w:t>КПП 091201001</w:t>
            </w:r>
          </w:p>
          <w:p>
            <w:pPr>
              <w:pStyle w:val="Normal"/>
              <w:widowControl w:val="false"/>
              <w:spacing w:before="280" w:after="0"/>
              <w:rPr>
                <w:rFonts w:cs="Times New Roman"/>
                <w:color w:val="000000"/>
                <w:sz w:val="24"/>
                <w:szCs w:val="24"/>
                <w:lang w:val="ru-RU"/>
              </w:rPr>
            </w:pPr>
            <w:r>
              <w:rPr>
                <w:rFonts w:cs="Times New Roman"/>
                <w:color w:val="000000"/>
                <w:sz w:val="24"/>
                <w:szCs w:val="24"/>
                <w:lang w:val="ru-RU"/>
              </w:rPr>
              <w:t>Л/сч 05793002890 в УФК по КЧР 7912</w:t>
            </w:r>
          </w:p>
          <w:p>
            <w:pPr>
              <w:pStyle w:val="Normal"/>
              <w:widowControl w:val="false"/>
              <w:shd w:val="clear" w:fill="FFFFFF"/>
              <w:rPr>
                <w:color w:val="000000"/>
                <w:sz w:val="24"/>
                <w:szCs w:val="24"/>
                <w:lang w:val="ru-RU"/>
              </w:rPr>
            </w:pPr>
            <w:r>
              <w:rPr>
                <w:color w:val="000000"/>
                <w:sz w:val="24"/>
                <w:szCs w:val="24"/>
                <w:lang w:val="ru-RU"/>
              </w:rPr>
              <w:t>Е. к.р.с. 03232643916300007900</w:t>
            </w:r>
          </w:p>
          <w:p>
            <w:pPr>
              <w:pStyle w:val="Normal"/>
              <w:widowControl w:val="false"/>
              <w:shd w:val="clear" w:fill="FFFFFF"/>
              <w:rPr>
                <w:color w:val="000000"/>
                <w:sz w:val="24"/>
                <w:szCs w:val="24"/>
                <w:lang w:val="ru-RU"/>
              </w:rPr>
            </w:pPr>
            <w:r>
              <w:rPr>
                <w:color w:val="000000"/>
                <w:sz w:val="24"/>
                <w:szCs w:val="24"/>
                <w:lang w:val="ru-RU"/>
              </w:rPr>
              <w:t>БИК ТОФК 019133001</w:t>
            </w:r>
          </w:p>
          <w:p>
            <w:pPr>
              <w:pStyle w:val="Normal"/>
              <w:widowControl w:val="false"/>
              <w:shd w:val="clear" w:fill="FFFFFF"/>
              <w:rPr>
                <w:color w:val="000000"/>
                <w:sz w:val="24"/>
                <w:szCs w:val="24"/>
                <w:lang w:val="ru-RU"/>
              </w:rPr>
            </w:pPr>
            <w:r>
              <w:rPr>
                <w:color w:val="000000"/>
                <w:sz w:val="24"/>
                <w:szCs w:val="24"/>
                <w:lang w:val="ru-RU"/>
              </w:rPr>
              <w:t>к\с 40102810245370000078</w:t>
            </w:r>
          </w:p>
          <w:p>
            <w:pPr>
              <w:pStyle w:val="Normal"/>
              <w:widowControl w:val="false"/>
              <w:shd w:val="clear" w:fill="FFFFFF"/>
              <w:ind w:left="0" w:right="0" w:firstLine="708"/>
              <w:jc w:val="both"/>
              <w:rPr>
                <w:bCs/>
                <w:i/>
                <w:i/>
                <w:sz w:val="24"/>
                <w:szCs w:val="24"/>
                <w:lang w:val="ru-RU"/>
              </w:rPr>
            </w:pPr>
            <w:r>
              <w:rPr>
                <w:bCs/>
                <w:i/>
                <w:sz w:val="24"/>
                <w:szCs w:val="24"/>
                <w:lang w:val="ru-RU"/>
              </w:rPr>
              <w:t>Отделение - НБ Карачаево-Черкесская Республика //УФК по Карачаево- Черкесской Республике г. Черкесск</w:t>
            </w:r>
          </w:p>
          <w:p>
            <w:pPr>
              <w:pStyle w:val="Normal"/>
              <w:widowControl w:val="false"/>
              <w:shd w:val="clear" w:color="auto" w:fill="FFFFFF"/>
              <w:tabs>
                <w:tab w:val="clear" w:pos="708"/>
                <w:tab w:val="left" w:pos="-180" w:leader="none"/>
              </w:tabs>
              <w:spacing w:lineRule="auto" w:line="240" w:before="0" w:after="0"/>
              <w:ind w:left="0" w:right="0" w:firstLine="708"/>
              <w:jc w:val="both"/>
              <w:rPr>
                <w:rFonts w:cs="Times New Roman"/>
                <w:b/>
                <w:bCs/>
                <w:i/>
                <w:i/>
                <w:color w:val="000000"/>
                <w:sz w:val="24"/>
                <w:szCs w:val="24"/>
                <w:lang w:val="ru-RU"/>
              </w:rPr>
            </w:pPr>
            <w:r>
              <w:rPr>
                <w:rFonts w:cs="Times New Roman"/>
                <w:b/>
                <w:bCs/>
                <w:i/>
                <w:color w:val="000000"/>
                <w:sz w:val="24"/>
                <w:szCs w:val="24"/>
                <w:lang w:val="ru-RU"/>
              </w:rPr>
              <w:t>«Обеспечение исполнения контракта № _______»</w:t>
            </w:r>
          </w:p>
          <w:p>
            <w:pPr>
              <w:pStyle w:val="ConsNormal"/>
              <w:widowControl w:val="false"/>
              <w:ind w:right="0" w:firstLine="567"/>
              <w:jc w:val="both"/>
              <w:rPr>
                <w:sz w:val="24"/>
                <w:szCs w:val="24"/>
                <w:lang w:eastAsia="en-US"/>
              </w:rPr>
            </w:pPr>
            <w:r>
              <w:rPr>
                <w:rFonts w:cs="Times New Roman" w:ascii="Times New Roman" w:hAnsi="Times New Roman"/>
                <w:sz w:val="24"/>
                <w:szCs w:val="24"/>
              </w:rPr>
              <w:t>В назначении платежа указывается назначение обеспечения, наименование предмета закупки и номер извещения.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гарантийных обязательств</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Обеспечение гарантийных обязательств</w:t>
            </w:r>
          </w:p>
          <w:p>
            <w:pPr>
              <w:pStyle w:val="Normal"/>
              <w:widowControl w:val="false"/>
              <w:rPr>
                <w:sz w:val="24"/>
                <w:szCs w:val="24"/>
                <w:lang w:eastAsia="en-US"/>
              </w:rPr>
            </w:pPr>
            <w:bookmarkStart w:id="20" w:name="_Hlk87349622"/>
            <w:r>
              <w:rPr>
                <w:sz w:val="24"/>
                <w:szCs w:val="24"/>
                <w:lang w:eastAsia="en-US"/>
              </w:rPr>
              <w:t>Размер обеспечения гарантийных обязательств</w:t>
            </w:r>
            <w:bookmarkEnd w:id="20"/>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uppressAutoHyphens w:val="true"/>
              <w:bidi w:val="0"/>
              <w:spacing w:before="0" w:after="0"/>
              <w:ind w:left="113" w:right="113" w:hanging="0"/>
              <w:jc w:val="left"/>
              <w:rPr>
                <w:bCs/>
              </w:rPr>
            </w:pPr>
            <w:r>
              <w:rPr>
                <w:bCs/>
              </w:rPr>
              <w:t>требование не установлено</w:t>
            </w:r>
          </w:p>
          <w:p>
            <w:pPr>
              <w:pStyle w:val="ConsPlusNormal"/>
              <w:widowControl w:val="false"/>
              <w:ind w:firstLine="743"/>
              <w:rPr>
                <w:bCs/>
              </w:rPr>
            </w:pPr>
            <w:r>
              <w:rPr>
                <w:bCs/>
              </w:rPr>
            </w:r>
          </w:p>
          <w:p>
            <w:pPr>
              <w:pStyle w:val="ConsPlusNormal"/>
              <w:widowControl w:val="false"/>
              <w:ind w:firstLine="743"/>
              <w:rPr>
                <w:bCs/>
              </w:rPr>
            </w:pPr>
            <w:r>
              <w:rPr>
                <w:bCs/>
              </w:rPr>
            </w:r>
          </w:p>
          <w:p>
            <w:pPr>
              <w:pStyle w:val="ConsPlusNormal"/>
              <w:widowControl w:val="false"/>
              <w:ind w:firstLine="743"/>
              <w:rPr>
                <w:szCs w:val="24"/>
                <w:lang w:eastAsia="en-US"/>
              </w:rPr>
            </w:pPr>
            <w:r>
              <w:rPr>
                <w:bC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21" w:name="_Hlk87349656"/>
            <w:r>
              <w:rPr>
                <w:sz w:val="24"/>
                <w:szCs w:val="24"/>
                <w:lang w:eastAsia="en-US"/>
              </w:rPr>
              <w:t>Порядок предоставления обеспечения гарантийных обязательств</w:t>
            </w:r>
            <w:bookmarkEnd w:id="21"/>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743"/>
              <w:rPr>
                <w:sz w:val="24"/>
                <w:szCs w:val="24"/>
                <w:lang w:eastAsia="en-US"/>
              </w:rPr>
            </w:pPr>
            <w:r>
              <w:rPr>
                <w:sz w:val="24"/>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гарантийных обязательств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firstLine="743"/>
              <w:rPr>
                <w:szCs w:val="24"/>
                <w:lang w:eastAsia="en-US"/>
              </w:rPr>
            </w:pPr>
            <w:r>
              <w:rPr>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Перечень прикрепленных документов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Приложение 1 - Обоснование НМЦК</w:t>
            </w:r>
          </w:p>
          <w:p>
            <w:pPr>
              <w:pStyle w:val="ConsPlusNormal"/>
              <w:widowControl w:val="false"/>
              <w:rPr>
                <w:szCs w:val="24"/>
                <w:lang w:eastAsia="en-US"/>
              </w:rPr>
            </w:pPr>
            <w:r>
              <w:rPr>
                <w:szCs w:val="24"/>
                <w:lang w:eastAsia="en-US"/>
              </w:rPr>
              <w:t>Приложение 2 - Проект контракта</w:t>
            </w:r>
          </w:p>
          <w:p>
            <w:pPr>
              <w:pStyle w:val="ConsPlusNormal"/>
              <w:widowControl w:val="false"/>
              <w:rPr>
                <w:szCs w:val="24"/>
                <w:lang w:eastAsia="en-US"/>
              </w:rPr>
            </w:pPr>
            <w:r>
              <w:rPr>
                <w:szCs w:val="24"/>
                <w:lang w:eastAsia="en-US"/>
              </w:rPr>
              <w:t>Приложение 3 - Описание объекта закупки (техническое задание)</w:t>
            </w:r>
          </w:p>
          <w:p>
            <w:pPr>
              <w:pStyle w:val="ConsPlusNormal"/>
              <w:widowControl w:val="false"/>
              <w:rPr>
                <w:szCs w:val="24"/>
                <w:lang w:eastAsia="en-US"/>
              </w:rPr>
            </w:pPr>
            <w:r>
              <w:rPr>
                <w:szCs w:val="24"/>
                <w:lang w:eastAsia="en-US"/>
              </w:rPr>
              <w:t>Приложение 4 - Требования к содержанию, составу заявки, инструкция по ее заполнению</w:t>
            </w:r>
          </w:p>
        </w:tc>
      </w:tr>
    </w:tbl>
    <w:p>
      <w:pPr>
        <w:pStyle w:val="Normal"/>
        <w:rPr>
          <w:sz w:val="24"/>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567" w:right="567" w:gutter="0" w:header="397" w:top="567" w:footer="0" w:bottom="567"/>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1664"/>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uiPriority w:val="99"/>
    <w:qFormat/>
    <w:rsid w:val="008c1664"/>
    <w:rPr>
      <w:rFonts w:eastAsia="Times New Roman" w:cs="Times New Roman"/>
      <w:sz w:val="20"/>
      <w:szCs w:val="20"/>
      <w:lang w:eastAsia="ru-RU"/>
    </w:rPr>
  </w:style>
  <w:style w:type="character" w:styleId="Style10" w:customStyle="1">
    <w:name w:val="Нижний колонтитул Знак"/>
    <w:basedOn w:val="DefaultParagraphFont"/>
    <w:uiPriority w:val="99"/>
    <w:qFormat/>
    <w:rsid w:val="008c1664"/>
    <w:rPr>
      <w:rFonts w:eastAsia="Times New Roman" w:cs="Times New Roman"/>
      <w:sz w:val="20"/>
      <w:szCs w:val="20"/>
      <w:lang w:eastAsia="ru-RU"/>
    </w:rPr>
  </w:style>
  <w:style w:type="character" w:styleId="-">
    <w:name w:val="Hyperlink"/>
    <w:uiPriority w:val="99"/>
    <w:unhideWhenUsed/>
    <w:rsid w:val="008c1664"/>
    <w:rPr>
      <w:rFonts w:cs="Times New Roman"/>
      <w:color w:val="0000FF"/>
      <w:u w:val="single"/>
    </w:rPr>
  </w:style>
  <w:style w:type="character" w:styleId="Style11" w:customStyle="1">
    <w:name w:val="Текст выноски Знак"/>
    <w:basedOn w:val="DefaultParagraphFont"/>
    <w:uiPriority w:val="99"/>
    <w:semiHidden/>
    <w:qFormat/>
    <w:rsid w:val="00cc3ea5"/>
    <w:rPr>
      <w:rFonts w:ascii="Segoe UI" w:hAnsi="Segoe UI" w:eastAsia="Times New Roman" w:cs="Segoe UI"/>
      <w:sz w:val="18"/>
      <w:szCs w:val="18"/>
      <w:lang w:eastAsia="ru-RU"/>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lang w:val="zxx" w:eastAsia="zxx" w:bidi="zxx"/>
    </w:rPr>
  </w:style>
  <w:style w:type="paragraph" w:styleId="Style17">
    <w:name w:val="Колонтитул"/>
    <w:basedOn w:val="Normal"/>
    <w:qFormat/>
    <w:pPr/>
    <w:rPr/>
  </w:style>
  <w:style w:type="paragraph" w:styleId="Style18">
    <w:name w:val="Header"/>
    <w:basedOn w:val="Normal"/>
    <w:uiPriority w:val="99"/>
    <w:rsid w:val="008c1664"/>
    <w:pPr>
      <w:tabs>
        <w:tab w:val="clear" w:pos="708"/>
        <w:tab w:val="center" w:pos="4153" w:leader="none"/>
        <w:tab w:val="right" w:pos="8306" w:leader="none"/>
      </w:tabs>
    </w:pPr>
    <w:rPr/>
  </w:style>
  <w:style w:type="paragraph" w:styleId="Style19">
    <w:name w:val="Footer"/>
    <w:basedOn w:val="Normal"/>
    <w:uiPriority w:val="99"/>
    <w:rsid w:val="008c1664"/>
    <w:pPr>
      <w:tabs>
        <w:tab w:val="clear" w:pos="708"/>
        <w:tab w:val="center" w:pos="4153" w:leader="none"/>
        <w:tab w:val="right" w:pos="8306" w:leader="none"/>
      </w:tabs>
    </w:pPr>
    <w:rPr/>
  </w:style>
  <w:style w:type="paragraph" w:styleId="ConsPlusNormal" w:customStyle="1">
    <w:name w:val="ConsPlusNormal"/>
    <w:qFormat/>
    <w:rsid w:val="008c1664"/>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d5164b"/>
    <w:pPr>
      <w:spacing w:before="0" w:after="0"/>
      <w:ind w:left="720" w:hanging="0"/>
      <w:contextualSpacing/>
    </w:pPr>
    <w:rPr/>
  </w:style>
  <w:style w:type="paragraph" w:styleId="ConsNormal" w:customStyle="1">
    <w:name w:val="ConsNormal"/>
    <w:qFormat/>
    <w:rsid w:val="00b55803"/>
    <w:pPr>
      <w:widowControl/>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uiPriority w:val="99"/>
    <w:semiHidden/>
    <w:unhideWhenUsed/>
    <w:qFormat/>
    <w:rsid w:val="00cc3ea5"/>
    <w:pPr/>
    <w:rPr>
      <w:rFonts w:ascii="Segoe UI" w:hAnsi="Segoe UI" w:cs="Segoe UI"/>
      <w:sz w:val="18"/>
      <w:szCs w:val="18"/>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conimik_urup@mail.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Application>LibreOffice/7.5.0.3$Windows_X86_64 LibreOffice_project/c21113d003cd3efa8c53188764377a8272d9d6de</Application>
  <AppVersion>15.0000</AppVersion>
  <Pages>7</Pages>
  <Words>1724</Words>
  <Characters>12676</Characters>
  <CharactersWithSpaces>14262</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2022-01-25T05:18:00Z</dcterms:created>
  <dc:creator>Пользователь</dc:creator>
  <dc:description/>
  <dc:language>ru-RU</dc:language>
  <cp:lastModifiedBy/>
  <cp:lastPrinted>2022-04-26T17:11:00Z</cp:lastPrinted>
  <dcterms:modified xsi:type="dcterms:W3CDTF">2023-06-05T15:21:51Z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