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b/>
          <w:b/>
          <w:sz w:val="24"/>
          <w:szCs w:val="24"/>
        </w:rPr>
      </w:pPr>
      <w:r>
        <w:rPr>
          <w:b/>
          <w:sz w:val="24"/>
          <w:szCs w:val="24"/>
        </w:rPr>
        <w:t>Извещение</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об осуществлении закупки путем</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проведения электронного аукциона</w:t>
      </w:r>
    </w:p>
    <w:p>
      <w:pPr>
        <w:pStyle w:val="Normal"/>
        <w:jc w:val="center"/>
        <w:rPr>
          <w:sz w:val="24"/>
          <w:szCs w:val="24"/>
        </w:rPr>
      </w:pPr>
      <w:r>
        <w:rPr>
          <w:b/>
          <w:sz w:val="24"/>
          <w:szCs w:val="24"/>
        </w:rPr>
        <w:t xml:space="preserve">на </w:t>
      </w:r>
      <w:r>
        <w:rPr>
          <w:rFonts w:cs="Times New Roman"/>
          <w:b/>
          <w:bCs/>
          <w:color w:val="000000"/>
          <w:sz w:val="22"/>
          <w:szCs w:val="22"/>
          <w:lang w:val="ru-RU" w:eastAsia="en-US"/>
        </w:rPr>
        <w:t>поставку офисной бумаги для нужд администрации Урупского муниципального района</w:t>
      </w:r>
    </w:p>
    <w:p>
      <w:pPr>
        <w:pStyle w:val="Normal"/>
        <w:jc w:val="center"/>
        <w:rPr>
          <w:sz w:val="24"/>
          <w:szCs w:val="24"/>
        </w:rPr>
      </w:pPr>
      <w:r>
        <w:rPr>
          <w:sz w:val="24"/>
          <w:szCs w:val="24"/>
        </w:rPr>
      </w:r>
    </w:p>
    <w:tbl>
      <w:tblPr>
        <w:tblW w:w="106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54"/>
        <w:gridCol w:w="7440"/>
      </w:tblGrid>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bCs/>
                <w:sz w:val="24"/>
                <w:szCs w:val="24"/>
                <w:lang w:eastAsia="en-US"/>
              </w:rPr>
              <w:t>Сведения о лице, проводящем закупку</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sz w:val="24"/>
                <w:szCs w:val="24"/>
                <w:lang w:eastAsia="en-US"/>
              </w:rPr>
            </w:pPr>
            <w:r>
              <w:rPr>
                <w:rFonts w:cs="Times New Roman"/>
                <w:bCs/>
                <w:color w:val="000000"/>
                <w:sz w:val="24"/>
                <w:szCs w:val="24"/>
                <w:lang w:val="ru-RU" w:eastAsia="en-US"/>
              </w:rPr>
              <w:t>Администрация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Место нахождения и почтовый адрес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lang w:eastAsia="en-US"/>
              </w:rPr>
            </w:pPr>
            <w:bookmarkStart w:id="0" w:name="_Hlk87342993"/>
            <w:bookmarkEnd w:id="0"/>
            <w:r>
              <w:rPr>
                <w:rFonts w:cs="Times New Roman"/>
                <w:bCs/>
                <w:color w:val="000000"/>
                <w:sz w:val="24"/>
                <w:szCs w:val="24"/>
                <w:lang w:val="ru-RU" w:eastAsia="en-US"/>
              </w:rPr>
              <w:t>369260, Карачаево-Черкесская Республика,  Урупский район, ст. Преградная, ул. Советская, 60</w:t>
            </w:r>
          </w:p>
        </w:tc>
      </w:tr>
      <w:tr>
        <w:trPr>
          <w:trHeight w:val="526" w:hRule="atLeast"/>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Номер контактного телефона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rPr>
            </w:pPr>
            <w:r>
              <w:rPr>
                <w:rFonts w:cs="Times New Roman"/>
                <w:bCs/>
                <w:color w:val="000000"/>
                <w:sz w:val="24"/>
                <w:szCs w:val="24"/>
                <w:lang w:val="ru-RU" w:eastAsia="en-US"/>
              </w:rPr>
              <w:t>8(87876) 61596</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Адрес электронной почты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jc w:val="both"/>
              <w:rPr/>
            </w:pPr>
            <w:hyperlink r:id="rId2">
              <w:r>
                <w:rPr>
                  <w:rFonts w:cs="Times New Roman"/>
                  <w:bCs/>
                  <w:sz w:val="24"/>
                  <w:szCs w:val="24"/>
                  <w:lang w:val="en-US"/>
                </w:rPr>
                <w:t>econimik</w:t>
              </w:r>
              <w:r>
                <w:rPr>
                  <w:rFonts w:cs="Times New Roman"/>
                  <w:bCs/>
                  <w:sz w:val="24"/>
                  <w:szCs w:val="24"/>
                  <w:lang w:val="ru-RU"/>
                </w:rPr>
                <w:t>_</w:t>
              </w:r>
              <w:r>
                <w:rPr>
                  <w:rFonts w:cs="Times New Roman"/>
                  <w:bCs/>
                  <w:sz w:val="24"/>
                  <w:szCs w:val="24"/>
                  <w:lang w:val="en-US"/>
                </w:rPr>
                <w:t>urup</w:t>
              </w:r>
              <w:r>
                <w:rPr>
                  <w:rFonts w:cs="Times New Roman"/>
                  <w:bCs/>
                  <w:sz w:val="24"/>
                  <w:szCs w:val="24"/>
                  <w:lang w:val="ru-RU"/>
                </w:rPr>
                <w:t>@</w:t>
              </w:r>
              <w:r>
                <w:rPr>
                  <w:rFonts w:cs="Times New Roman"/>
                  <w:bCs/>
                  <w:sz w:val="24"/>
                  <w:szCs w:val="24"/>
                  <w:lang w:val="en-US"/>
                </w:rPr>
                <w:t>mail</w:t>
              </w:r>
              <w:r>
                <w:rPr>
                  <w:rFonts w:cs="Times New Roman"/>
                  <w:bCs/>
                  <w:sz w:val="24"/>
                  <w:szCs w:val="24"/>
                  <w:lang w:val="ru-RU"/>
                </w:rPr>
                <w:t>.</w:t>
              </w:r>
              <w:r>
                <w:rPr>
                  <w:rFonts w:cs="Times New Roman"/>
                  <w:bCs/>
                  <w:sz w:val="24"/>
                  <w:szCs w:val="24"/>
                  <w:lang w:val="en-US"/>
                </w:rPr>
                <w:t>ru</w:t>
              </w:r>
            </w:hyperlink>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Ответственное должностное лицо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Ольга Владимировна Тинт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5" w:right="75" w:hanging="0"/>
              <w:rPr>
                <w:sz w:val="24"/>
                <w:szCs w:val="24"/>
                <w:lang w:eastAsia="en-US"/>
              </w:rPr>
            </w:pPr>
            <w:r>
              <w:rPr>
                <w:rFonts w:cs="Times New Roman"/>
                <w:color w:val="000000"/>
                <w:sz w:val="24"/>
                <w:szCs w:val="24"/>
                <w:lang w:val="ru-RU" w:eastAsia="en-US"/>
              </w:rPr>
              <w:t>Информация о контрактной службе, контрактном управляющем, ответственных за заключение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Состав единой комиссии администрации Урупского муниципального района утвержден постановлением администрации Урупского муниципального района</w:t>
            </w:r>
          </w:p>
          <w:p>
            <w:pPr>
              <w:pStyle w:val="Normal"/>
              <w:widowControl w:val="false"/>
              <w:ind w:left="0" w:right="0" w:firstLine="720"/>
              <w:jc w:val="both"/>
              <w:rPr>
                <w:sz w:val="24"/>
                <w:szCs w:val="24"/>
              </w:rPr>
            </w:pPr>
            <w:r>
              <w:rPr>
                <w:rFonts w:cs="Times New Roman"/>
                <w:bCs/>
                <w:sz w:val="24"/>
                <w:szCs w:val="24"/>
                <w:lang w:val="ru-RU"/>
              </w:rPr>
              <w:t xml:space="preserve"> </w:t>
            </w:r>
            <w:r>
              <w:rPr>
                <w:bCs/>
                <w:sz w:val="24"/>
                <w:szCs w:val="24"/>
                <w:lang w:val="ru-RU"/>
              </w:rPr>
              <w:t>№</w:t>
            </w:r>
            <w:r>
              <w:rPr>
                <w:bCs/>
                <w:sz w:val="24"/>
                <w:szCs w:val="24"/>
                <w:lang w:val="ru-RU"/>
              </w:rPr>
              <w:t>77 от 29.01.2014.</w:t>
            </w:r>
          </w:p>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pPr>
              <w:pStyle w:val="Normal"/>
              <w:widowControl w:val="false"/>
              <w:tabs>
                <w:tab w:val="clear" w:pos="708"/>
                <w:tab w:val="left" w:pos="567" w:leader="none"/>
              </w:tabs>
              <w:suppressAutoHyphens w:val="false"/>
              <w:spacing w:before="0" w:after="280"/>
              <w:rPr>
                <w:color w:val="000000"/>
              </w:rPr>
            </w:pPr>
            <w:r>
              <w:rPr>
                <w:rFonts w:cs="Times New Roman"/>
                <w:bCs/>
                <w:color w:val="000000"/>
                <w:sz w:val="24"/>
                <w:szCs w:val="24"/>
                <w:lang w:val="ru-RU"/>
              </w:rPr>
              <w:t>Аджиев С.К.- Первый заместитель главы администрации Урупского муниципального района, председатель комиссии;</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Мархель Ю.В.- 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pPr>
              <w:pStyle w:val="Normal"/>
              <w:widowControl w:val="false"/>
              <w:tabs>
                <w:tab w:val="clear" w:pos="708"/>
                <w:tab w:val="left" w:pos="567" w:leader="none"/>
              </w:tabs>
              <w:suppressAutoHyphens w:val="false"/>
              <w:rPr>
                <w:sz w:val="24"/>
                <w:szCs w:val="24"/>
                <w:lang w:val="ru-RU"/>
              </w:rPr>
            </w:pPr>
            <w:r>
              <w:rPr>
                <w:sz w:val="24"/>
                <w:szCs w:val="24"/>
                <w:lang w:val="ru-RU"/>
              </w:rPr>
              <w:t>Байрамкулов М.А.-юрисконсульт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lang w:val="ru-RU"/>
              </w:rPr>
            </w:pPr>
            <w:r>
              <w:rPr>
                <w:sz w:val="24"/>
                <w:szCs w:val="24"/>
                <w:lang w:val="ru-RU"/>
              </w:rPr>
              <w:t>Тинт О. 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rPr>
            </w:pPr>
            <w:r>
              <w:rPr>
                <w:sz w:val="24"/>
                <w:szCs w:val="24"/>
                <w:lang w:val="ru-RU"/>
              </w:rPr>
              <w:t>Бостанова М.М.-</w:t>
            </w:r>
            <w:r>
              <w:rPr>
                <w:bCs/>
                <w:sz w:val="24"/>
                <w:szCs w:val="24"/>
                <w:lang w:val="ru-RU"/>
              </w:rPr>
              <w:t>.заместитель начальника – главный бухгалтер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spacing w:before="280" w:after="0"/>
              <w:ind w:left="0" w:right="0" w:firstLine="540"/>
              <w:jc w:val="both"/>
              <w:rPr>
                <w:rFonts w:cs="Times New Roman"/>
                <w:bCs/>
                <w:color w:val="000000"/>
                <w:sz w:val="24"/>
                <w:szCs w:val="24"/>
                <w:lang w:val="ru-RU" w:eastAsia="en-US"/>
              </w:rPr>
            </w:pPr>
            <w:r>
              <w:rPr>
                <w:rFonts w:cs="Times New Roman"/>
                <w:bCs/>
                <w:color w:val="000000"/>
                <w:sz w:val="24"/>
                <w:szCs w:val="24"/>
                <w:lang w:val="ru-RU" w:eastAsia="en-US"/>
              </w:rPr>
              <w:t>Ответственный за заключение контракта – Тинт О.В.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Специализированная организация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привлекалась</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Основная информация о закупке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Идентификационный код закупки (ИКЗ)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Style28"/>
              <w:spacing w:before="0" w:after="0"/>
              <w:jc w:val="both"/>
              <w:rPr>
                <w:i w:val="false"/>
                <w:i w:val="false"/>
                <w:iCs w:val="false"/>
                <w:color w:val="000000"/>
              </w:rPr>
            </w:pPr>
            <w:r>
              <w:rPr>
                <w:rFonts w:cs="Tahoma" w:ascii="Times New Roman" w:hAnsi="Times New Roman"/>
                <w:i w:val="false"/>
                <w:iCs w:val="false"/>
                <w:color w:val="000000"/>
                <w:sz w:val="24"/>
                <w:szCs w:val="24"/>
                <w:shd w:fill="FFFFFF" w:val="clear"/>
              </w:rPr>
              <w:t>233091200056909120100100050021712244</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Способ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Открытый аукцион в электронной форме (электронный аукцион)</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Адрес в сети Интернет электронной площадки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http://www.sberbank-ast.ru</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объекта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b w:val="false"/>
                <w:b w:val="false"/>
                <w:bCs w:val="false"/>
              </w:rPr>
            </w:pPr>
            <w:r>
              <w:rPr>
                <w:rFonts w:cs="Times New Roman"/>
                <w:b w:val="false"/>
                <w:bCs w:val="false"/>
                <w:color w:val="000000"/>
                <w:sz w:val="22"/>
                <w:szCs w:val="22"/>
                <w:lang w:val="ru-RU" w:eastAsia="en-US"/>
              </w:rPr>
              <w:t>Поставка офисной бумаги для нужд администрации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lang w:eastAsia="en-US"/>
              </w:rPr>
            </w:pPr>
            <w:r>
              <w:rPr>
                <w:rFonts w:eastAsia="Calibri" w:eastAsiaTheme="minorHAnsi"/>
                <w:sz w:val="24"/>
                <w:szCs w:val="24"/>
                <w:lang w:eastAsia="en-US"/>
              </w:rPr>
              <w:t>Максимальное значение цены контракта</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сумма цен единиц товара, работы, услуги</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цена единицы товара, работы,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color w:val="000000"/>
              </w:rPr>
            </w:pPr>
            <w:r>
              <w:rPr>
                <w:rFonts w:cs="Times New Roman"/>
                <w:color w:val="000000"/>
                <w:sz w:val="24"/>
                <w:szCs w:val="24"/>
                <w:lang w:eastAsia="en-US"/>
              </w:rPr>
              <w:t>99772,40 (</w:t>
            </w:r>
            <w:r>
              <w:rPr>
                <w:rFonts w:cs="Times New Roman"/>
                <w:color w:val="000000"/>
                <w:sz w:val="24"/>
                <w:szCs w:val="24"/>
                <w:lang w:val="ru-RU" w:eastAsia="en-US"/>
              </w:rPr>
              <w:t xml:space="preserve">Девяносто девять тысяч семьсот семьдесят два </w:t>
            </w:r>
            <w:r>
              <w:rPr>
                <w:rFonts w:cs="Times New Roman"/>
                <w:color w:val="000000"/>
                <w:sz w:val="24"/>
                <w:szCs w:val="24"/>
                <w:lang w:eastAsia="en-US"/>
              </w:rPr>
              <w:t>) руб. 40 коп.</w:t>
            </w:r>
          </w:p>
          <w:p>
            <w:pPr>
              <w:pStyle w:val="Normal"/>
              <w:widowControl w:val="false"/>
              <w:rPr>
                <w:color w:val="000000"/>
              </w:rPr>
            </w:pPr>
            <w:r>
              <w:rPr>
                <w:color w:val="000000"/>
                <w:sz w:val="24"/>
                <w:szCs w:val="24"/>
              </w:rPr>
              <w:t>356,33</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lang w:eastAsia="en-US"/>
              </w:rPr>
            </w:pPr>
            <w:r>
              <w:rPr>
                <w:sz w:val="24"/>
                <w:szCs w:val="24"/>
                <w:lang w:eastAsia="en-US"/>
              </w:rPr>
              <w:t>См. Приложение 1</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Валюта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Российский рубль</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Источник финансирования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Бюджет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Размер аванса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Выплата аванса не предусмотрена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Информация о возможности заказчика заключить контракты с несколькими участниками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Не применяется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 процедуре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и время окончания срока подачи заявок</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28</w:t>
            </w:r>
            <w:r>
              <w:rPr>
                <w:rFonts w:cs="Times New Roman"/>
                <w:color w:val="000000"/>
                <w:sz w:val="24"/>
                <w:szCs w:val="24"/>
                <w:lang w:eastAsia="en-US"/>
              </w:rPr>
              <w:t>.</w:t>
            </w:r>
            <w:r>
              <w:rPr>
                <w:rFonts w:cs="Times New Roman"/>
                <w:color w:val="000000"/>
                <w:sz w:val="24"/>
                <w:szCs w:val="24"/>
                <w:lang w:eastAsia="en-US"/>
              </w:rPr>
              <w:t>02</w:t>
            </w:r>
            <w:r>
              <w:rPr>
                <w:rFonts w:cs="Times New Roman"/>
                <w:color w:val="000000"/>
                <w:sz w:val="24"/>
                <w:szCs w:val="24"/>
                <w:lang w:eastAsia="en-US"/>
              </w:rPr>
              <w:t>.202</w:t>
            </w:r>
            <w:r>
              <w:rPr>
                <w:rFonts w:cs="Times New Roman"/>
                <w:color w:val="000000"/>
                <w:sz w:val="24"/>
                <w:szCs w:val="24"/>
                <w:lang w:eastAsia="en-US"/>
              </w:rPr>
              <w:t>3</w:t>
            </w:r>
            <w:r>
              <w:rPr>
                <w:color w:val="000000"/>
                <w:sz w:val="24"/>
                <w:szCs w:val="24"/>
                <w:lang w:eastAsia="en-US"/>
              </w:rPr>
              <w:t>, 09:00</w:t>
            </w:r>
            <w:r>
              <w:rPr>
                <w:color w:val="000000"/>
                <w:sz w:val="24"/>
                <w:szCs w:val="24"/>
                <w:lang w:eastAsia="en-US"/>
              </w:rPr>
              <w:t xml:space="preserve"> (время московское)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проведения процедуры подачи предложений о цене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28</w:t>
            </w:r>
            <w:r>
              <w:rPr>
                <w:rFonts w:cs="Times New Roman"/>
                <w:color w:val="000000"/>
                <w:sz w:val="24"/>
                <w:szCs w:val="24"/>
                <w:lang w:eastAsia="en-US"/>
              </w:rPr>
              <w:t>.</w:t>
            </w:r>
            <w:r>
              <w:rPr>
                <w:rFonts w:cs="Times New Roman"/>
                <w:color w:val="000000"/>
                <w:sz w:val="24"/>
                <w:szCs w:val="24"/>
                <w:lang w:eastAsia="en-US"/>
              </w:rPr>
              <w:t>02</w:t>
            </w:r>
            <w:r>
              <w:rPr>
                <w:rFonts w:cs="Times New Roman"/>
                <w:color w:val="000000"/>
                <w:sz w:val="24"/>
                <w:szCs w:val="24"/>
                <w:lang w:eastAsia="en-US"/>
              </w:rPr>
              <w:t>.202</w:t>
            </w:r>
            <w:r>
              <w:rPr>
                <w:rFonts w:cs="Times New Roman"/>
                <w:color w:val="000000"/>
                <w:sz w:val="24"/>
                <w:szCs w:val="24"/>
                <w:lang w:eastAsia="en-US"/>
              </w:rPr>
              <w:t>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подведения итогов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01.03.2023</w:t>
            </w:r>
            <w:r>
              <w:rPr>
                <w:color w:val="000000"/>
                <w:sz w:val="24"/>
                <w:szCs w:val="24"/>
                <w:lang w:eastAsia="en-US"/>
              </w:rPr>
              <w:t xml:space="preserve"> </w:t>
            </w:r>
            <w:r>
              <w:rPr>
                <w:color w:val="000000"/>
                <w:sz w:val="24"/>
                <w:szCs w:val="24"/>
                <w:lang w:eastAsia="en-US"/>
              </w:rPr>
              <w:t>– в течении 2 рабочих дней после окончания электронного аукциона (</w:t>
            </w:r>
            <w:r>
              <w:rPr>
                <w:color w:val="000000"/>
                <w:sz w:val="24"/>
                <w:szCs w:val="24"/>
                <w:lang w:eastAsia="en-US"/>
              </w:rPr>
              <w:t>2</w:t>
            </w:r>
            <w:r>
              <w:rPr>
                <w:color w:val="000000"/>
                <w:sz w:val="24"/>
                <w:szCs w:val="24"/>
                <w:lang w:eastAsia="en-US"/>
              </w:rPr>
              <w:t>8.</w:t>
            </w:r>
            <w:r>
              <w:rPr>
                <w:color w:val="000000"/>
                <w:sz w:val="24"/>
                <w:szCs w:val="24"/>
                <w:lang w:eastAsia="en-US"/>
              </w:rPr>
              <w:t>02</w:t>
            </w:r>
            <w:r>
              <w:rPr>
                <w:color w:val="000000"/>
                <w:sz w:val="24"/>
                <w:szCs w:val="24"/>
                <w:lang w:eastAsia="en-US"/>
              </w:rPr>
              <w:t>.202</w:t>
            </w:r>
            <w:r>
              <w:rPr>
                <w:color w:val="000000"/>
                <w:sz w:val="24"/>
                <w:szCs w:val="24"/>
                <w:lang w:eastAsia="en-US"/>
              </w:rPr>
              <w:t>3</w:t>
            </w:r>
            <w:r>
              <w:rPr>
                <w:color w:val="000000"/>
                <w:sz w:val="24"/>
                <w:szCs w:val="24"/>
                <w:lang w:eastAsia="en-US"/>
              </w:rPr>
              <w:t>-</w:t>
            </w:r>
            <w:r>
              <w:rPr>
                <w:color w:val="000000"/>
                <w:sz w:val="24"/>
                <w:szCs w:val="24"/>
                <w:lang w:eastAsia="en-US"/>
              </w:rPr>
              <w:t>02</w:t>
            </w:r>
            <w:r>
              <w:rPr>
                <w:color w:val="000000"/>
                <w:sz w:val="24"/>
                <w:szCs w:val="24"/>
                <w:lang w:eastAsia="en-US"/>
              </w:rPr>
              <w:t>.</w:t>
            </w:r>
            <w:r>
              <w:rPr>
                <w:color w:val="000000"/>
                <w:sz w:val="24"/>
                <w:szCs w:val="24"/>
                <w:lang w:eastAsia="en-US"/>
              </w:rPr>
              <w:t>03</w:t>
            </w:r>
            <w:r>
              <w:rPr>
                <w:color w:val="000000"/>
                <w:sz w:val="24"/>
                <w:szCs w:val="24"/>
                <w:lang w:eastAsia="en-US"/>
              </w:rPr>
              <w:t>.202</w:t>
            </w:r>
            <w:r>
              <w:rPr>
                <w:color w:val="000000"/>
                <w:sz w:val="24"/>
                <w:szCs w:val="24"/>
                <w:lang w:eastAsia="en-US"/>
              </w:rPr>
              <w:t>3</w:t>
            </w:r>
            <w:r>
              <w:rPr>
                <w:color w:val="000000"/>
                <w:sz w:val="24"/>
                <w:szCs w:val="24"/>
                <w:lang w:eastAsia="en-US"/>
              </w:rPr>
              <w:t>)</w:t>
            </w:r>
            <w:bookmarkStart w:id="1" w:name="_GoBack"/>
            <w:bookmarkEnd w:id="1"/>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участниках</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Преимущества и требования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Учреждениям и предприятиям уголовно-исполнительной системы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Организациям инвалидов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00" w:after="100"/>
              <w:ind w:left="100" w:right="100" w:firstLine="566"/>
              <w:jc w:val="both"/>
              <w:rPr>
                <w:rFonts w:eastAsia="Times New Roman" w:cs="Times New Roman"/>
                <w:sz w:val="24"/>
                <w:szCs w:val="24"/>
              </w:rPr>
            </w:pPr>
            <w:r>
              <w:rPr>
                <w:rFonts w:eastAsia="Times New Roman" w:cs="Times New Roman"/>
                <w:sz w:val="24"/>
                <w:szCs w:val="24"/>
                <w:lang w:eastAsia="en-US"/>
              </w:rPr>
              <w:t>Установлен запрет на допуск промышленных товаров, происходящих из иностранных государств, являющихся объектом закупки, в соответствии с постановлением Правительства РФ от 30.04.2020 № 616, а также дополнительное требование к участникам закупки промышленных товаров, указанных в пунктах 1-7, 124 и 125 перечня, заключающееся в использовании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 (указанное дополнительное требование не действует в случае, если на территории Российской Федерации и (или)территории государств – членов Евразийского экономического союза отсутствует производство таких товаров, материалов или полуфабрикатов), подача заявки на участие в данной закупке с указанием в ней страны происхождения, относящейся к государству - члену Евразийского экономического союза, подтверждает соответствие поставляемого товара указанному дополнительному требованию. Указание в составе заявке, в том числе в составе её первой части иной страны, является основанием не допуска участника к участию в данной закупке и (или) признанию такой заявки несоответствующей требованиям настоящей документации.</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Участниками могут быть только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4"/>
                <w:szCs w:val="24"/>
                <w:lang w:eastAsia="en-US"/>
              </w:rPr>
            </w:pPr>
            <w:r>
              <w:rPr>
                <w:sz w:val="24"/>
                <w:szCs w:val="24"/>
                <w:lang w:eastAsia="en-US"/>
              </w:rPr>
              <w:t>У</w:t>
            </w:r>
            <w:r>
              <w:rPr>
                <w:sz w:val="24"/>
                <w:szCs w:val="24"/>
                <w:lang w:eastAsia="en-US"/>
              </w:rPr>
              <w:t>становлены</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color w:val="000000"/>
              </w:rPr>
            </w:pPr>
            <w:r>
              <w:rPr>
                <w:color w:val="000000"/>
                <w:sz w:val="24"/>
                <w:szCs w:val="24"/>
                <w:lang w:eastAsia="en-US"/>
              </w:rPr>
              <w:t>Закупка у субъектов малого предпринимательства и социально ориентированных некоммерческих организаций</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Привлечение субподрядчиков, соисполнителей из числа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предъявляется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 xml:space="preserve">Единые требования к участникам закупки (в соответствии с ч. 1 ст. 31 Федерального закона от 05.04.2013 № 44-ФЗ </w:t>
            </w:r>
            <w:r>
              <w:rPr/>
              <w:t>«О контрактной системе в сфере закупок товаров, работ, услуг для обеспечения государственных и муниципальных нужд» (далее – Закон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460"/>
              <w:jc w:val="both"/>
              <w:rPr>
                <w:sz w:val="24"/>
                <w:szCs w:val="24"/>
                <w:lang w:eastAsia="en-US"/>
              </w:rPr>
            </w:pPr>
            <w:r>
              <w:rPr>
                <w:sz w:val="24"/>
                <w:szCs w:val="24"/>
                <w:lang w:eastAsia="en-US"/>
              </w:rPr>
              <w:t>Предъявляются.</w:t>
            </w:r>
          </w:p>
          <w:p>
            <w:pPr>
              <w:pStyle w:val="Normal"/>
              <w:widowControl w:val="false"/>
              <w:ind w:firstLine="460"/>
              <w:jc w:val="both"/>
              <w:rPr>
                <w:sz w:val="24"/>
                <w:szCs w:val="24"/>
                <w:lang w:eastAsia="en-US"/>
              </w:rPr>
            </w:pPr>
            <w:r>
              <w:rPr>
                <w:sz w:val="24"/>
                <w:szCs w:val="24"/>
                <w:lang w:eastAsia="en-US"/>
              </w:rPr>
              <w:t>1. </w:t>
            </w:r>
            <w:r>
              <w:rPr>
                <w:rFonts w:eastAsia="Calibri"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4"/>
                <w:szCs w:val="24"/>
                <w:lang w:eastAsia="en-US"/>
              </w:rPr>
              <w:t>:</w:t>
            </w:r>
          </w:p>
          <w:p>
            <w:pPr>
              <w:pStyle w:val="Normal"/>
              <w:widowControl w:val="false"/>
              <w:ind w:firstLine="460"/>
              <w:jc w:val="both"/>
              <w:rPr>
                <w:sz w:val="24"/>
                <w:szCs w:val="24"/>
                <w:lang w:eastAsia="en-US"/>
              </w:rPr>
            </w:pPr>
            <w:r>
              <w:rPr>
                <w:sz w:val="24"/>
                <w:szCs w:val="24"/>
                <w:lang w:eastAsia="en-US"/>
              </w:rPr>
              <w:t>не установлено.</w:t>
            </w:r>
          </w:p>
          <w:p>
            <w:pPr>
              <w:pStyle w:val="Normal"/>
              <w:widowControl w:val="false"/>
              <w:ind w:firstLine="460"/>
              <w:jc w:val="both"/>
              <w:rPr>
                <w:sz w:val="24"/>
                <w:szCs w:val="24"/>
                <w:lang w:eastAsia="en-US"/>
              </w:rPr>
            </w:pPr>
            <w:bookmarkStart w:id="2" w:name="_Hlk87347654"/>
            <w:bookmarkEnd w:id="2"/>
            <w:r>
              <w:rPr>
                <w:sz w:val="24"/>
                <w:szCs w:val="24"/>
                <w:lang w:eastAsia="en-US"/>
              </w:rPr>
              <w:t>2. Не</w:t>
            </w:r>
            <w:r>
              <w:rPr>
                <w:rFonts w:eastAsia="Calibri" w:eastAsiaTheme="minorHAnsi"/>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lang w:eastAsia="en-US"/>
              </w:rPr>
              <w:t>.</w:t>
            </w:r>
          </w:p>
          <w:p>
            <w:pPr>
              <w:pStyle w:val="Normal"/>
              <w:widowControl w:val="false"/>
              <w:ind w:firstLine="460"/>
              <w:jc w:val="both"/>
              <w:rPr>
                <w:sz w:val="24"/>
                <w:szCs w:val="24"/>
                <w:lang w:eastAsia="en-US"/>
              </w:rPr>
            </w:pPr>
            <w:bookmarkStart w:id="3" w:name="_Hlk87347733"/>
            <w:bookmarkStart w:id="4" w:name="_Hlk873476541"/>
            <w:bookmarkEnd w:id="3"/>
            <w:bookmarkEnd w:id="4"/>
            <w:r>
              <w:rPr>
                <w:sz w:val="24"/>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val="false"/>
              <w:ind w:firstLine="460"/>
              <w:jc w:val="both"/>
              <w:rPr>
                <w:rFonts w:eastAsia="Calibri" w:eastAsiaTheme="minorHAnsi"/>
                <w:sz w:val="24"/>
                <w:szCs w:val="24"/>
                <w:lang w:eastAsia="en-US"/>
              </w:rPr>
            </w:pPr>
            <w:bookmarkStart w:id="5" w:name="_Hlk87347777"/>
            <w:bookmarkStart w:id="6" w:name="_Hlk873477331"/>
            <w:bookmarkEnd w:id="5"/>
            <w:bookmarkEnd w:id="6"/>
            <w:r>
              <w:rPr>
                <w:sz w:val="24"/>
                <w:szCs w:val="24"/>
                <w:lang w:eastAsia="en-US"/>
              </w:rPr>
              <w:t>4.</w:t>
            </w:r>
            <w:r>
              <w:rPr>
                <w:rFonts w:eastAsia="Calibri" w:eastAsiaTheme="minorHAnsi"/>
                <w:sz w:val="24"/>
                <w:szCs w:val="24"/>
                <w:lang w:eastAsia="en-US"/>
              </w:rPr>
              <w:t xml:space="preserve"> </w:t>
            </w:r>
            <w:r>
              <w:rPr>
                <w:rFonts w:eastAsia="Calibri" w:eastAsiaTheme="minorHAns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7" w:name="_Hlk87348099"/>
            <w:bookmarkStart w:id="8" w:name="_Hlk873477771"/>
            <w:bookmarkEnd w:id="7"/>
            <w:bookmarkEnd w:id="8"/>
            <w:r>
              <w:rPr>
                <w:sz w:val="24"/>
                <w:szCs w:val="24"/>
                <w:lang w:eastAsia="en-US"/>
              </w:rPr>
              <w:t xml:space="preserve">5. </w:t>
            </w:r>
            <w:r>
              <w:rPr>
                <w:rFonts w:eastAsia="Calibri"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rFonts w:eastAsia="Calibri" w:eastAsiaTheme="minorHAnsi"/>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Pr>
                <w:rFonts w:eastAsia="Calibri" w:eastAsiaTheme="minorHAnsi"/>
                <w:sz w:val="24"/>
                <w:szCs w:val="24"/>
                <w:lang w:eastAsia="en-US"/>
              </w:rPr>
              <w:t xml:space="preserve">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en-US"/>
              </w:rPr>
              <w:t>.</w:t>
            </w:r>
          </w:p>
          <w:p>
            <w:pPr>
              <w:pStyle w:val="Normal"/>
              <w:widowControl w:val="false"/>
              <w:ind w:firstLine="460"/>
              <w:jc w:val="both"/>
              <w:rPr>
                <w:sz w:val="24"/>
                <w:szCs w:val="24"/>
                <w:lang w:eastAsia="en-US"/>
              </w:rPr>
            </w:pPr>
            <w:bookmarkStart w:id="9" w:name="_Hlk87348254"/>
            <w:bookmarkStart w:id="10" w:name="_Hlk873480991"/>
            <w:bookmarkEnd w:id="9"/>
            <w:bookmarkEnd w:id="10"/>
            <w:r>
              <w:rPr>
                <w:sz w:val="24"/>
                <w:szCs w:val="24"/>
                <w:lang w:eastAsia="en-US"/>
              </w:rPr>
              <w:t xml:space="preserve">6. </w:t>
            </w:r>
            <w:r>
              <w:rPr>
                <w:rFonts w:eastAsia="Calibri" w:eastAsiaTheme="minorHAnsi"/>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eastAsia="Calibri" w:eastAsiaTheme="minorHAnsi"/>
                <w:sz w:val="24"/>
                <w:szCs w:val="24"/>
              </w:rPr>
              <w:t>предусмотренного статьей 19.28</w:t>
            </w:r>
            <w:r>
              <w:rPr>
                <w:rFonts w:eastAsia="Calibri" w:eastAsiaTheme="minorHAnsi"/>
                <w:sz w:val="24"/>
                <w:szCs w:val="24"/>
                <w:lang w:eastAsia="en-US"/>
              </w:rPr>
              <w:t xml:space="preserve"> Кодекса Российской Федерации об административных правонарушениях</w:t>
            </w:r>
            <w:r>
              <w:rPr>
                <w:sz w:val="24"/>
                <w:szCs w:val="24"/>
                <w:lang w:eastAsia="en-US"/>
              </w:rPr>
              <w:t>.</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Не установлено:</w:t>
            </w:r>
          </w:p>
          <w:p>
            <w:pPr>
              <w:pStyle w:val="Normal"/>
              <w:widowControl w:val="false"/>
              <w:ind w:firstLine="460"/>
              <w:jc w:val="both"/>
              <w:rPr>
                <w:rFonts w:eastAsia="Calibri" w:eastAsiaTheme="minorHAnsi"/>
                <w:sz w:val="24"/>
                <w:szCs w:val="24"/>
                <w:lang w:eastAsia="en-US"/>
              </w:rPr>
            </w:pPr>
            <w:bookmarkStart w:id="11" w:name="_Hlk873482541"/>
            <w:bookmarkEnd w:id="11"/>
            <w:r>
              <w:rPr>
                <w:sz w:val="24"/>
                <w:szCs w:val="24"/>
                <w:lang w:eastAsia="en-US"/>
              </w:rPr>
              <w:t>8.</w:t>
            </w:r>
            <w:r>
              <w:rPr>
                <w:rFonts w:eastAsia="Calibri" w:eastAsiaTheme="minorHAnsi"/>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2" w:name="_Hlk87348383"/>
            <w:bookmarkEnd w:id="12"/>
          </w:p>
          <w:p>
            <w:pPr>
              <w:pStyle w:val="Normal"/>
              <w:widowControl w:val="false"/>
              <w:ind w:firstLine="460"/>
              <w:jc w:val="both"/>
              <w:rPr>
                <w:sz w:val="24"/>
                <w:szCs w:val="24"/>
                <w:lang w:eastAsia="en-US"/>
              </w:rPr>
            </w:pPr>
            <w:r>
              <w:rPr>
                <w:sz w:val="24"/>
                <w:szCs w:val="24"/>
                <w:lang w:eastAsia="en-US"/>
              </w:rPr>
              <w:t xml:space="preserve">9. </w:t>
            </w:r>
            <w:r>
              <w:rPr>
                <w:rFonts w:eastAsia="Calibri"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13" w:name="_Hlk87348793"/>
            <w:r>
              <w:rPr>
                <w:sz w:val="24"/>
                <w:szCs w:val="24"/>
                <w:lang w:eastAsia="en-US"/>
              </w:rPr>
              <w:t xml:space="preserve">10. </w:t>
            </w:r>
            <w:r>
              <w:rPr>
                <w:rFonts w:eastAsia="Calibri"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bookmarkEnd w:id="13"/>
            <w:r>
              <w:rPr>
                <w:sz w:val="24"/>
                <w:szCs w:val="24"/>
                <w:lang w:eastAsia="en-US"/>
              </w:rPr>
              <w:t>.</w:t>
            </w:r>
          </w:p>
          <w:p>
            <w:pPr>
              <w:pStyle w:val="Normal"/>
              <w:widowControl w:val="false"/>
              <w:ind w:firstLine="460"/>
              <w:jc w:val="both"/>
              <w:rPr>
                <w:sz w:val="24"/>
                <w:szCs w:val="24"/>
                <w:lang w:eastAsia="en-US"/>
              </w:rPr>
            </w:pPr>
            <w:r>
              <w:rPr>
                <w:sz w:val="24"/>
                <w:szCs w:val="24"/>
                <w:lang w:eastAsia="en-US"/>
              </w:rPr>
            </w:r>
          </w:p>
          <w:p>
            <w:pPr>
              <w:pStyle w:val="Normal"/>
              <w:widowControl w:val="false"/>
              <w:ind w:firstLine="460"/>
              <w:jc w:val="both"/>
              <w:rPr>
                <w:sz w:val="24"/>
                <w:szCs w:val="24"/>
                <w:lang w:eastAsia="en-US"/>
              </w:rPr>
            </w:pPr>
            <w:r>
              <w:rPr>
                <w:sz w:val="24"/>
                <w:szCs w:val="24"/>
                <w:lang w:eastAsia="en-US"/>
              </w:rPr>
              <w:t>Соответствие участника закупки требованиям, установленным в п. п. 2 - 6, 8 - 10 настоящего раздела, подтверждается декларацией о соответствии участника требованиям</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Требования к участникам закупки в соответствии с ч. 1.1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18"/>
              <w:rPr>
                <w:sz w:val="24"/>
                <w:szCs w:val="24"/>
                <w:lang w:eastAsia="en-US"/>
              </w:rPr>
            </w:pPr>
            <w:r>
              <w:rPr>
                <w:sz w:val="24"/>
                <w:szCs w:val="24"/>
                <w:lang w:eastAsia="en-US"/>
              </w:rPr>
              <w:t>Предъявляются.</w:t>
            </w:r>
          </w:p>
          <w:p>
            <w:pPr>
              <w:pStyle w:val="Normal"/>
              <w:widowControl w:val="false"/>
              <w:ind w:firstLine="318"/>
              <w:jc w:val="both"/>
              <w:rPr>
                <w:sz w:val="24"/>
                <w:szCs w:val="24"/>
                <w:lang w:eastAsia="en-US"/>
              </w:rPr>
            </w:pPr>
            <w:r>
              <w:rPr>
                <w:sz w:val="24"/>
                <w:szCs w:val="24"/>
                <w:lang w:eastAsia="en-US"/>
              </w:rPr>
              <w:t>В реестре недобросовестных поставщиков (подрядчиков, исполнителей), предусмотренном Закона № 44-ФЗ, должна отсутствовать информация об участнике закупки, в том числе информация о лицах, указанных в п. п. 2, 3 ч. 3 ст. 104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Дополнительные требования к участникам закупки в соответствии с ч. 2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Дополнительное требование к участникам закупки в соответствии с ч. 2.1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Банковское или казначейское сопровождение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требуется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условиях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sz w:val="24"/>
                <w:szCs w:val="24"/>
                <w:lang w:eastAsia="en-US"/>
              </w:rPr>
              <w:t xml:space="preserve">Место </w:t>
            </w:r>
            <w:r>
              <w:rPr>
                <w:rFonts w:eastAsia="Calibri" w:eastAsiaTheme="minorHAnsi"/>
                <w:sz w:val="24"/>
                <w:szCs w:val="24"/>
                <w:lang w:eastAsia="en-US"/>
              </w:rPr>
              <w:t>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_</w:t>
            </w:r>
            <w:r>
              <w:rPr>
                <w:rFonts w:eastAsia="Lucida Sans Unicode" w:cs="Times New Roman"/>
                <w:iCs/>
                <w:color w:val="000000"/>
                <w:kern w:val="2"/>
                <w:sz w:val="24"/>
                <w:szCs w:val="24"/>
                <w:shd w:fill="auto" w:val="clear"/>
                <w:lang w:val="ru-RU" w:eastAsia="en-US" w:bidi="hi-IN"/>
              </w:rPr>
              <w:t>Карачаево- Черкесская Республика, Урупский район, ст. Преградная, ул. Советская ,60</w:t>
            </w:r>
          </w:p>
          <w:p>
            <w:pPr>
              <w:pStyle w:val="Normal"/>
              <w:widowControl w:val="false"/>
              <w:rPr>
                <w:sz w:val="24"/>
                <w:szCs w:val="24"/>
                <w:lang w:eastAsia="en-US"/>
              </w:rPr>
            </w:pPr>
            <w:r>
              <w:rPr>
                <w:sz w:val="24"/>
                <w:szCs w:val="24"/>
                <w:lang w:eastAsia="en-US"/>
              </w:rPr>
            </w:r>
          </w:p>
          <w:p>
            <w:pPr>
              <w:pStyle w:val="Normal"/>
              <w:widowControl w:val="false"/>
              <w:rPr>
                <w:sz w:val="24"/>
                <w:szCs w:val="24"/>
                <w:lang w:eastAsia="en-US"/>
              </w:rPr>
            </w:pPr>
            <w:r>
              <w:rPr>
                <w:sz w:val="24"/>
                <w:szCs w:val="24"/>
                <w:lang w:eastAsia="en-US"/>
              </w:rPr>
              <w:t>См. Приложение 3</w:t>
            </w:r>
          </w:p>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Срок исполнения контракта (отдельных этапов исполнения контракта, если проектом контракта предусмотрены такие этапы)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color w:val="000000"/>
                <w:sz w:val="26"/>
                <w:szCs w:val="26"/>
                <w:lang w:val="ru-RU" w:eastAsia="en-US"/>
              </w:rPr>
              <w:t xml:space="preserve"> </w:t>
            </w:r>
            <w:r>
              <w:rPr>
                <w:rFonts w:cs="Times New Roman"/>
                <w:bCs/>
                <w:i w:val="false"/>
                <w:iCs w:val="false"/>
                <w:color w:val="000000"/>
                <w:sz w:val="24"/>
                <w:szCs w:val="24"/>
                <w:lang w:val="ru-RU" w:eastAsia="en-US"/>
              </w:rPr>
              <w:t xml:space="preserve"> </w:t>
            </w:r>
            <w:r>
              <w:rPr>
                <w:rFonts w:cs="Times New Roman"/>
                <w:bCs/>
                <w:i w:val="false"/>
                <w:iCs w:val="false"/>
                <w:color w:val="000000"/>
                <w:sz w:val="24"/>
                <w:szCs w:val="24"/>
                <w:lang w:val="ru-RU" w:eastAsia="en-US"/>
              </w:rPr>
              <w:t>Поставщик самостоятельно доставляет товар заказчику по адресу: 369260, Карачаево- Черкесская Республика, Урупский район, ст. Преградная, ул. Советская д.60, в течение 10 (десяти) рабочих дней со дня подписания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Этапы исполнения контракта (сроки исполнения этапов)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bCs/>
                <w:i w:val="false"/>
                <w:iCs w:val="false"/>
                <w:color w:val="000000"/>
                <w:sz w:val="24"/>
                <w:szCs w:val="24"/>
                <w:lang w:val="ru-RU" w:eastAsia="en-US"/>
              </w:rPr>
              <w:t>течение 10 (десяти) рабочих дней со дня подписания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rPr>
            </w:pPr>
            <w:r>
              <w:rPr>
                <w:rFonts w:eastAsia="Calibri" w:eastAsiaTheme="minorHAnsi"/>
                <w:sz w:val="24"/>
                <w:szCs w:val="24"/>
              </w:rPr>
              <w:t xml:space="preserve">Информация о количестве (за исключением случая, предусмотренного частью 24 статьи 22 настоящего Федерального закона), единице измерения и </w:t>
            </w:r>
            <w:r>
              <w:rPr>
                <w:rFonts w:eastAsia="Calibri" w:eastAsiaTheme="minorHAnsi"/>
                <w:b/>
                <w:bCs/>
                <w:sz w:val="24"/>
                <w:szCs w:val="24"/>
              </w:rPr>
              <w:t>месте поставки товара</w:t>
            </w:r>
            <w:r>
              <w:rPr>
                <w:rFonts w:eastAsia="Calibri" w:eastAsiaTheme="minorHAnsi"/>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val="en-US"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 xml:space="preserve">Информация о возможности одностороннего отказа от исполнения контракта в соответствии со ст. 95 </w:t>
            </w:r>
            <w:r>
              <w:rPr>
                <w:rFonts w:eastAsia="Calibri" w:eastAsiaTheme="minorHAnsi"/>
                <w:sz w:val="24"/>
                <w:szCs w:val="24"/>
              </w:rPr>
              <w:t>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Такая возможность допускается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Сведения об обеспечении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требуются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4" w:name="_Hlk87348845"/>
            <w:bookmarkEnd w:id="14"/>
            <w:r>
              <w:rPr>
                <w:sz w:val="24"/>
                <w:szCs w:val="24"/>
                <w:lang w:eastAsia="en-US"/>
              </w:rPr>
              <w:t>Размер обеспечения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5" w:name="_Hlk87349002"/>
            <w:bookmarkStart w:id="16" w:name="_Hlk873488451"/>
            <w:bookmarkEnd w:id="16"/>
            <w:r>
              <w:rPr>
                <w:sz w:val="24"/>
                <w:szCs w:val="24"/>
                <w:lang w:eastAsia="en-US"/>
              </w:rPr>
              <w:t>Порядок внесения денежных средств в качестве обеспечения заявки, условия независимой гарантии</w:t>
            </w:r>
            <w:bookmarkEnd w:id="15"/>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18"/>
              <w:rPr>
                <w:sz w:val="24"/>
                <w:szCs w:val="24"/>
                <w:lang w:eastAsia="en-US"/>
              </w:rPr>
            </w:pPr>
            <w:r>
              <w:rPr>
                <w:sz w:val="24"/>
                <w:szCs w:val="24"/>
                <w:lang w:eastAsia="en-US"/>
              </w:rPr>
              <w:t>-</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исполнения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7" w:name="_Hlk87349191"/>
            <w:r>
              <w:rPr>
                <w:sz w:val="24"/>
                <w:szCs w:val="24"/>
                <w:lang w:eastAsia="en-US"/>
              </w:rPr>
              <w:t>Размер обеспечения исполнения контракта</w:t>
            </w:r>
            <w:bookmarkEnd w:id="17"/>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ind w:left="113" w:right="113" w:hanging="0"/>
              <w:jc w:val="both"/>
              <w:rPr>
                <w:sz w:val="24"/>
                <w:szCs w:val="24"/>
              </w:rPr>
            </w:pPr>
            <w:r>
              <w:rPr>
                <w:rFonts w:cs="Times New Roman"/>
                <w:bCs/>
                <w:color w:val="000000"/>
                <w:sz w:val="24"/>
                <w:szCs w:val="24"/>
              </w:rPr>
              <w:t>4988,62</w:t>
            </w:r>
            <w:r>
              <w:rPr>
                <w:bCs/>
                <w:color w:val="000000"/>
                <w:sz w:val="24"/>
                <w:szCs w:val="24"/>
              </w:rPr>
              <w:t xml:space="preserve"> рублей</w:t>
            </w:r>
            <w:r>
              <w:rPr>
                <w:bCs/>
                <w:sz w:val="24"/>
                <w:szCs w:val="24"/>
              </w:rPr>
              <w:t xml:space="preserve"> (5%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8" w:name="_Hlk87349299"/>
            <w:r>
              <w:rPr>
                <w:sz w:val="24"/>
                <w:szCs w:val="24"/>
                <w:lang w:eastAsia="en-US"/>
              </w:rPr>
              <w:t>Порядок предоставления обеспечения исполнения контракта</w:t>
            </w:r>
            <w:bookmarkEnd w:id="18"/>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460"/>
              <w:rPr>
                <w:sz w:val="24"/>
                <w:szCs w:val="24"/>
                <w:lang w:eastAsia="en-US"/>
              </w:rPr>
            </w:pPr>
            <w:bookmarkStart w:id="19" w:name="_Hlk87349334"/>
            <w:r>
              <w:rPr>
                <w:sz w:val="24"/>
                <w:szCs w:val="24"/>
                <w:lang w:eastAsia="en-US"/>
              </w:rPr>
              <w:t>Обеспечение исполнения контракта предоставляется в виде независимой гарантии, соответствующей требованиям ст. ст. 45, 96 Закона № 44-ФЗ, или внесением денежных средств на указанный заказчиком счет.</w:t>
            </w:r>
            <w:bookmarkEnd w:id="19"/>
          </w:p>
          <w:p>
            <w:pPr>
              <w:pStyle w:val="Normal"/>
              <w:widowControl w:val="false"/>
              <w:ind w:firstLine="460"/>
              <w:rPr>
                <w:sz w:val="24"/>
                <w:szCs w:val="24"/>
                <w:lang w:eastAsia="en-US"/>
              </w:rPr>
            </w:pPr>
            <w:r>
              <w:rPr>
                <w:sz w:val="24"/>
                <w:szCs w:val="24"/>
                <w:lang w:eastAsia="en-US"/>
              </w:rPr>
              <w:t>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p>
            <w:pPr>
              <w:pStyle w:val="Normal"/>
              <w:widowControl w:val="false"/>
              <w:ind w:firstLine="458"/>
              <w:jc w:val="both"/>
              <w:rPr>
                <w:sz w:val="24"/>
                <w:szCs w:val="24"/>
              </w:rPr>
            </w:pPr>
            <w:r>
              <w:rPr>
                <w:sz w:val="24"/>
                <w:szCs w:val="24"/>
              </w:rPr>
              <w:t>В случае 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установленного с учетом положений статьи 37 Закона № 44-ФЗ.</w:t>
            </w:r>
          </w:p>
          <w:p>
            <w:pPr>
              <w:pStyle w:val="Normal"/>
              <w:widowControl w:val="false"/>
              <w:ind w:firstLine="540"/>
              <w:jc w:val="both"/>
              <w:rPr>
                <w:sz w:val="24"/>
                <w:szCs w:val="24"/>
              </w:rPr>
            </w:pPr>
            <w:r>
              <w:rPr>
                <w:sz w:val="24"/>
                <w:szCs w:val="24"/>
              </w:rPr>
              <w:t xml:space="preserve">Предоставление обеспечения исполнения контракта, обеспечения гарантийных обязательств, </w:t>
            </w:r>
            <w:r>
              <w:rPr>
                <w:color w:val="22272F"/>
                <w:sz w:val="24"/>
                <w:szCs w:val="24"/>
                <w:shd w:fill="FFFFFF" w:val="clear"/>
              </w:rPr>
              <w:t>в том числе с учетом положений </w:t>
            </w:r>
            <w:r>
              <w:rPr>
                <w:sz w:val="24"/>
                <w:szCs w:val="24"/>
                <w:shd w:fill="FFFFFF" w:val="clear"/>
              </w:rPr>
              <w:t>статьи 37</w:t>
            </w:r>
            <w:r>
              <w:rPr>
                <w:color w:val="22272F"/>
                <w:sz w:val="24"/>
                <w:szCs w:val="24"/>
                <w:shd w:fill="FFFFFF" w:val="clear"/>
              </w:rPr>
              <w:t> </w:t>
            </w:r>
            <w:r>
              <w:rPr>
                <w:sz w:val="24"/>
                <w:szCs w:val="24"/>
              </w:rPr>
              <w:t>Закона № 44-ФЗ, не требуется в случае:</w:t>
            </w:r>
          </w:p>
          <w:p>
            <w:pPr>
              <w:pStyle w:val="Normal"/>
              <w:widowControl w:val="false"/>
              <w:ind w:firstLine="459"/>
              <w:jc w:val="both"/>
              <w:rPr>
                <w:sz w:val="24"/>
                <w:szCs w:val="24"/>
              </w:rPr>
            </w:pPr>
            <w:r>
              <w:rPr>
                <w:sz w:val="24"/>
                <w:szCs w:val="24"/>
              </w:rPr>
              <w:t>1) заключения контракта с участником закупки, который является казенным учреждением;</w:t>
            </w:r>
          </w:p>
          <w:p>
            <w:pPr>
              <w:pStyle w:val="Normal"/>
              <w:widowControl w:val="false"/>
              <w:ind w:firstLine="459"/>
              <w:jc w:val="both"/>
              <w:rPr>
                <w:sz w:val="24"/>
                <w:szCs w:val="24"/>
              </w:rPr>
            </w:pPr>
            <w:r>
              <w:rPr>
                <w:sz w:val="24"/>
                <w:szCs w:val="24"/>
              </w:rPr>
              <w:t>2) осуществления закупки услуги по предоставлению кредита;</w:t>
            </w:r>
          </w:p>
          <w:p>
            <w:pPr>
              <w:pStyle w:val="Normal"/>
              <w:widowControl w:val="false"/>
              <w:ind w:firstLine="45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pStyle w:val="Normal"/>
              <w:widowControl w:val="false"/>
              <w:ind w:firstLine="459"/>
              <w:jc w:val="both"/>
              <w:rPr>
                <w:sz w:val="24"/>
                <w:szCs w:val="24"/>
              </w:rPr>
            </w:pPr>
            <w:r>
              <w:rPr>
                <w:sz w:val="24"/>
                <w:szCs w:val="24"/>
              </w:rPr>
            </w:r>
          </w:p>
          <w:p>
            <w:pPr>
              <w:pStyle w:val="Normal"/>
              <w:widowControl w:val="false"/>
              <w:ind w:firstLine="459"/>
              <w:jc w:val="both"/>
              <w:rPr>
                <w:sz w:val="24"/>
                <w:szCs w:val="24"/>
              </w:rPr>
            </w:pPr>
            <w:r>
              <w:rPr>
                <w:sz w:val="24"/>
                <w:szCs w:val="24"/>
              </w:rPr>
              <w:t>Предоставление обеспечения исполнения контракта, обеспечения гарантийных обязательств не требуется в случае, установленном частью 8.1. статьи 96 Закона № 44-ФЗ</w:t>
            </w:r>
          </w:p>
          <w:p>
            <w:pPr>
              <w:pStyle w:val="Normal"/>
              <w:widowControl w:val="false"/>
              <w:ind w:firstLine="454"/>
              <w:jc w:val="both"/>
              <w:rPr>
                <w:sz w:val="24"/>
                <w:szCs w:val="24"/>
                <w:lang w:eastAsia="en-US"/>
              </w:rPr>
            </w:pPr>
            <w:r>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положениями частей 7-7.3 статьи 96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исполнения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hanging="0"/>
              <w:jc w:val="both"/>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hanging="0"/>
              <w:jc w:val="both"/>
              <w:rPr>
                <w:rFonts w:cs="Times New Roman"/>
                <w:b/>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hanging="0"/>
              <w:jc w:val="both"/>
              <w:rPr>
                <w:sz w:val="24"/>
                <w:szCs w:val="24"/>
                <w:lang w:eastAsia="en-US"/>
              </w:rPr>
            </w:pPr>
            <w:r>
              <w:rPr>
                <w:rFonts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гарантийных обязательств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Обеспечение гарантийных обязательств</w:t>
            </w:r>
          </w:p>
          <w:p>
            <w:pPr>
              <w:pStyle w:val="Normal"/>
              <w:widowControl w:val="false"/>
              <w:rPr>
                <w:sz w:val="24"/>
                <w:szCs w:val="24"/>
                <w:lang w:eastAsia="en-US"/>
              </w:rPr>
            </w:pPr>
            <w:bookmarkStart w:id="20" w:name="_Hlk87349622"/>
            <w:r>
              <w:rPr>
                <w:sz w:val="24"/>
                <w:szCs w:val="24"/>
                <w:lang w:eastAsia="en-US"/>
              </w:rPr>
              <w:t>Размер обеспечения гарантийных обязательств</w:t>
            </w:r>
            <w:bookmarkEnd w:id="20"/>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uppressAutoHyphens w:val="true"/>
              <w:bidi w:val="0"/>
              <w:spacing w:before="0" w:after="0"/>
              <w:ind w:left="113" w:right="113" w:hanging="0"/>
              <w:jc w:val="left"/>
              <w:rPr>
                <w:bCs/>
              </w:rPr>
            </w:pPr>
            <w:r>
              <w:rPr>
                <w:bCs/>
              </w:rPr>
              <w:t>требование не установлено</w:t>
            </w:r>
          </w:p>
          <w:p>
            <w:pPr>
              <w:pStyle w:val="ConsPlusNormal"/>
              <w:widowControl w:val="false"/>
              <w:ind w:firstLine="743"/>
              <w:rPr>
                <w:bCs/>
              </w:rPr>
            </w:pPr>
            <w:r>
              <w:rPr>
                <w:bCs/>
              </w:rPr>
            </w:r>
          </w:p>
          <w:p>
            <w:pPr>
              <w:pStyle w:val="ConsPlusNormal"/>
              <w:widowControl w:val="false"/>
              <w:ind w:firstLine="743"/>
              <w:rPr>
                <w:bCs/>
              </w:rPr>
            </w:pPr>
            <w:r>
              <w:rPr>
                <w:bCs/>
              </w:rPr>
            </w:r>
          </w:p>
          <w:p>
            <w:pPr>
              <w:pStyle w:val="ConsPlusNormal"/>
              <w:widowControl w:val="false"/>
              <w:ind w:firstLine="743"/>
              <w:rPr>
                <w:szCs w:val="24"/>
                <w:lang w:eastAsia="en-US"/>
              </w:rPr>
            </w:pPr>
            <w:r>
              <w:rPr>
                <w:bC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21" w:name="_Hlk87349656"/>
            <w:r>
              <w:rPr>
                <w:sz w:val="24"/>
                <w:szCs w:val="24"/>
                <w:lang w:eastAsia="en-US"/>
              </w:rPr>
              <w:t>Порядок предоставления обеспечения гарантийных обязательств</w:t>
            </w:r>
            <w:bookmarkEnd w:id="21"/>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43"/>
              <w:rPr>
                <w:sz w:val="24"/>
                <w:szCs w:val="24"/>
                <w:lang w:eastAsia="en-US"/>
              </w:rPr>
            </w:pPr>
            <w:r>
              <w:rPr>
                <w:sz w:val="24"/>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гарантийных обязательств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szCs w:val="24"/>
                <w:lang w:eastAsia="en-US"/>
              </w:rPr>
            </w:pPr>
            <w:r>
              <w:rPr>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Перечень прикрепленных документов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Приложение 1 - Обоснование НМЦК</w:t>
            </w:r>
          </w:p>
          <w:p>
            <w:pPr>
              <w:pStyle w:val="ConsPlusNormal"/>
              <w:widowControl w:val="false"/>
              <w:rPr>
                <w:szCs w:val="24"/>
                <w:lang w:eastAsia="en-US"/>
              </w:rPr>
            </w:pPr>
            <w:r>
              <w:rPr>
                <w:szCs w:val="24"/>
                <w:lang w:eastAsia="en-US"/>
              </w:rPr>
              <w:t>Приложение 2 - Проект контракта</w:t>
            </w:r>
          </w:p>
          <w:p>
            <w:pPr>
              <w:pStyle w:val="ConsPlusNormal"/>
              <w:widowControl w:val="false"/>
              <w:rPr>
                <w:szCs w:val="24"/>
                <w:lang w:eastAsia="en-US"/>
              </w:rPr>
            </w:pPr>
            <w:r>
              <w:rPr>
                <w:szCs w:val="24"/>
                <w:lang w:eastAsia="en-US"/>
              </w:rPr>
              <w:t>Приложение 3 - Описание объекта закупки (техническое задание)</w:t>
            </w:r>
          </w:p>
          <w:p>
            <w:pPr>
              <w:pStyle w:val="ConsPlusNormal"/>
              <w:widowControl w:val="false"/>
              <w:rPr>
                <w:szCs w:val="24"/>
                <w:lang w:eastAsia="en-US"/>
              </w:rPr>
            </w:pPr>
            <w:r>
              <w:rPr>
                <w:szCs w:val="24"/>
                <w:lang w:eastAsia="en-US"/>
              </w:rPr>
              <w:t>Приложение 4 - Требования к содержанию, составу заявки, инструкция по ее заполнению</w:t>
            </w:r>
          </w:p>
        </w:tc>
      </w:tr>
    </w:tbl>
    <w:p>
      <w:pPr>
        <w:pStyle w:val="Normal"/>
        <w:rPr>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397" w:top="567" w:footer="0" w:bottom="567"/>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Franklin Gothic Medium">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66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c1664"/>
    <w:rPr>
      <w:rFonts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8c1664"/>
    <w:rPr>
      <w:rFonts w:eastAsia="Times New Roman" w:cs="Times New Roman"/>
      <w:sz w:val="20"/>
      <w:szCs w:val="20"/>
      <w:lang w:eastAsia="ru-RU"/>
    </w:rPr>
  </w:style>
  <w:style w:type="character" w:styleId="Style16">
    <w:name w:val="Hyperlink"/>
    <w:uiPriority w:val="99"/>
    <w:unhideWhenUsed/>
    <w:rsid w:val="008c1664"/>
    <w:rPr>
      <w:rFonts w:cs="Times New Roman"/>
      <w:color w:val="0000FF"/>
      <w:u w:val="single"/>
    </w:rPr>
  </w:style>
  <w:style w:type="character" w:styleId="Style17" w:customStyle="1">
    <w:name w:val="Текст выноски Знак"/>
    <w:basedOn w:val="DefaultParagraphFont"/>
    <w:uiPriority w:val="99"/>
    <w:semiHidden/>
    <w:qFormat/>
    <w:rsid w:val="00cc3ea5"/>
    <w:rPr>
      <w:rFonts w:ascii="Segoe UI" w:hAnsi="Segoe UI" w:eastAsia="Times New Roman" w:cs="Segoe UI"/>
      <w:sz w:val="18"/>
      <w:szCs w:val="18"/>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Колонтитул"/>
    <w:basedOn w:val="Normal"/>
    <w:qFormat/>
    <w:pPr/>
    <w:rPr/>
  </w:style>
  <w:style w:type="paragraph" w:styleId="Style24">
    <w:name w:val="Header"/>
    <w:basedOn w:val="Normal"/>
    <w:uiPriority w:val="99"/>
    <w:rsid w:val="008c1664"/>
    <w:pPr>
      <w:tabs>
        <w:tab w:val="clear" w:pos="708"/>
        <w:tab w:val="center" w:pos="4153" w:leader="none"/>
        <w:tab w:val="right" w:pos="8306" w:leader="none"/>
      </w:tabs>
    </w:pPr>
    <w:rPr/>
  </w:style>
  <w:style w:type="paragraph" w:styleId="Style25">
    <w:name w:val="Footer"/>
    <w:basedOn w:val="Normal"/>
    <w:uiPriority w:val="99"/>
    <w:rsid w:val="008c1664"/>
    <w:pPr>
      <w:tabs>
        <w:tab w:val="clear" w:pos="708"/>
        <w:tab w:val="center" w:pos="4153" w:leader="none"/>
        <w:tab w:val="right" w:pos="8306" w:leader="none"/>
      </w:tabs>
    </w:pPr>
    <w:rPr/>
  </w:style>
  <w:style w:type="paragraph" w:styleId="ConsPlusNormal" w:customStyle="1">
    <w:name w:val="ConsPlusNormal"/>
    <w:qFormat/>
    <w:rsid w:val="008c1664"/>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d5164b"/>
    <w:pPr>
      <w:spacing w:before="0" w:after="0"/>
      <w:ind w:left="720" w:hanging="0"/>
      <w:contextualSpacing/>
    </w:pPr>
    <w:rPr/>
  </w:style>
  <w:style w:type="paragraph" w:styleId="ConsNormal" w:customStyle="1">
    <w:name w:val="ConsNormal"/>
    <w:qFormat/>
    <w:rsid w:val="00b55803"/>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uiPriority w:val="99"/>
    <w:semiHidden/>
    <w:unhideWhenUsed/>
    <w:qFormat/>
    <w:rsid w:val="00cc3ea5"/>
    <w:pPr/>
    <w:rPr>
      <w:rFonts w:ascii="Segoe UI" w:hAnsi="Segoe UI" w:cs="Segoe UI"/>
      <w:sz w:val="18"/>
      <w:szCs w:val="18"/>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Style28">
    <w:name w:val="Таблицы (моноширинный)"/>
    <w:basedOn w:val="Normal"/>
    <w:next w:val="1"/>
    <w:qFormat/>
    <w:pPr>
      <w:widowControl w:val="false"/>
      <w:suppressLineNumbers/>
      <w:spacing w:before="120" w:after="120"/>
    </w:pPr>
    <w:rPr>
      <w:rFonts w:ascii="Courier New" w:hAnsi="Courier New" w:cs="Courier New"/>
      <w:i/>
      <w:iCs/>
      <w:sz w:val="20"/>
      <w:szCs w:val="20"/>
    </w:rPr>
  </w:style>
  <w:style w:type="paragraph" w:styleId="1">
    <w:name w:val="Приветствие1"/>
    <w:basedOn w:val="Normal"/>
    <w:next w:val="Style29"/>
    <w:qFormat/>
    <w:pPr>
      <w:suppressLineNumbers/>
      <w:spacing w:before="120" w:after="120"/>
    </w:pPr>
    <w:rPr>
      <w:i/>
      <w:iCs/>
    </w:rPr>
  </w:style>
  <w:style w:type="paragraph" w:styleId="Style29">
    <w:name w:val="Комментарий"/>
    <w:basedOn w:val="Normal"/>
    <w:next w:val="Style30"/>
    <w:qFormat/>
    <w:pPr>
      <w:widowControl w:val="false"/>
      <w:suppressLineNumbers/>
      <w:spacing w:before="120" w:after="120"/>
      <w:ind w:left="170" w:hanging="0"/>
    </w:pPr>
    <w:rPr>
      <w:rFonts w:ascii="Arial" w:hAnsi="Arial"/>
      <w:i/>
      <w:iCs/>
      <w:color w:val="800080"/>
      <w:sz w:val="20"/>
      <w:szCs w:val="20"/>
    </w:rPr>
  </w:style>
  <w:style w:type="paragraph" w:styleId="Style30">
    <w:name w:val="Знак Знак Знак Знак Знак Знак Знак Знак Знак Знак Знак Знак Знак Знак Знак Знак Знак Знак Знак"/>
    <w:basedOn w:val="Normal"/>
    <w:next w:val="Font6"/>
    <w:qFormat/>
    <w:pPr>
      <w:suppressLineNumbers/>
      <w:spacing w:before="28" w:after="28"/>
    </w:pPr>
    <w:rPr>
      <w:rFonts w:ascii="Tahoma" w:hAnsi="Tahoma" w:cs="Tahoma"/>
      <w:i/>
      <w:iCs/>
      <w:sz w:val="20"/>
      <w:szCs w:val="20"/>
      <w:lang w:val="en-US"/>
    </w:rPr>
  </w:style>
  <w:style w:type="paragraph" w:styleId="Font6">
    <w:name w:val="font6"/>
    <w:basedOn w:val="Normal"/>
    <w:next w:val="Xl41"/>
    <w:qFormat/>
    <w:pPr>
      <w:suppressLineNumbers/>
      <w:spacing w:before="28" w:after="28"/>
    </w:pPr>
    <w:rPr>
      <w:i/>
      <w:iCs/>
      <w:sz w:val="20"/>
      <w:szCs w:val="20"/>
    </w:rPr>
  </w:style>
  <w:style w:type="paragraph" w:styleId="Xl41">
    <w:name w:val="xl41"/>
    <w:basedOn w:val="Normal"/>
    <w:next w:val="Xl59"/>
    <w:qFormat/>
    <w:pPr>
      <w:suppressLineNumbers/>
      <w:spacing w:before="28" w:after="28"/>
      <w:textAlignment w:val="top"/>
    </w:pPr>
    <w:rPr>
      <w:i/>
      <w:iCs/>
    </w:rPr>
  </w:style>
  <w:style w:type="paragraph" w:styleId="Xl59">
    <w:name w:val="xl59"/>
    <w:basedOn w:val="Normal"/>
    <w:next w:val="Font9"/>
    <w:qFormat/>
    <w:pPr>
      <w:suppressLineNumbers/>
      <w:spacing w:before="28" w:after="28"/>
      <w:textAlignment w:val="top"/>
    </w:pPr>
    <w:rPr>
      <w:i/>
      <w:iCs/>
    </w:rPr>
  </w:style>
  <w:style w:type="paragraph" w:styleId="Font9">
    <w:name w:val="font9"/>
    <w:basedOn w:val="Normal"/>
    <w:next w:val="Xl74"/>
    <w:qFormat/>
    <w:pPr>
      <w:suppressLineNumbers/>
      <w:spacing w:before="28" w:after="28"/>
    </w:pPr>
    <w:rPr>
      <w:i/>
      <w:iCs/>
      <w:color w:val="000000"/>
    </w:rPr>
  </w:style>
  <w:style w:type="paragraph" w:styleId="Xl74">
    <w:name w:val="xl74"/>
    <w:basedOn w:val="Normal"/>
    <w:next w:val="1KGK9"/>
    <w:qFormat/>
    <w:pPr>
      <w:suppressLineNumbers/>
      <w:spacing w:before="28" w:after="28"/>
      <w:jc w:val="right"/>
      <w:textAlignment w:val="top"/>
    </w:pPr>
    <w:rPr>
      <w:i/>
      <w:iCs/>
      <w:sz w:val="18"/>
      <w:szCs w:val="18"/>
    </w:rPr>
  </w:style>
  <w:style w:type="paragraph" w:styleId="1KGK9">
    <w:name w:val="1KG=K9"/>
    <w:next w:val="Style51"/>
    <w:qFormat/>
    <w:pPr>
      <w:widowControl/>
      <w:tabs>
        <w:tab w:val="left" w:pos="708" w:leader="none"/>
      </w:tabs>
      <w:suppressAutoHyphens w:val="true"/>
      <w:bidi w:val="0"/>
      <w:spacing w:lineRule="auto" w:line="240" w:before="0" w:after="0"/>
      <w:jc w:val="left"/>
    </w:pPr>
    <w:rPr>
      <w:rFonts w:ascii="Arial" w:hAnsi="Arial" w:eastAsia="Times New Roman" w:cs="Arial"/>
      <w:color w:val="00000A"/>
      <w:kern w:val="2"/>
      <w:sz w:val="24"/>
      <w:szCs w:val="20"/>
      <w:lang w:val="en-AU" w:eastAsia="zh-CN" w:bidi="ar-SA"/>
    </w:rPr>
  </w:style>
  <w:style w:type="paragraph" w:styleId="Style51">
    <w:name w:val="Style5"/>
    <w:basedOn w:val="Normal"/>
    <w:next w:val="21"/>
    <w:qFormat/>
    <w:pPr>
      <w:widowControl w:val="false"/>
      <w:suppressLineNumbers/>
      <w:spacing w:before="120" w:after="120"/>
    </w:pPr>
    <w:rPr>
      <w:rFonts w:ascii="Franklin Gothic Medium" w:hAnsi="Franklin Gothic Medium" w:cs="Franklin Gothic Medium"/>
      <w:i/>
      <w:iCs/>
    </w:rPr>
  </w:style>
  <w:style w:type="paragraph" w:styleId="21">
    <w:name w:val="Обычный21"/>
    <w:next w:val="42"/>
    <w:qFormat/>
    <w:pPr>
      <w:widowControl w:val="false"/>
      <w:tabs>
        <w:tab w:val="left" w:pos="708" w:leader="none"/>
      </w:tabs>
      <w:suppressAutoHyphens w:val="true"/>
      <w:bidi w:val="0"/>
      <w:spacing w:lineRule="atLeast" w:line="100" w:before="100" w:after="100"/>
      <w:jc w:val="left"/>
    </w:pPr>
    <w:rPr>
      <w:rFonts w:ascii="Liberation Serif" w:hAnsi="Liberation Serif" w:eastAsia="Liberation Serif" w:cs="Lohit Hindi"/>
      <w:color w:val="00000A"/>
      <w:kern w:val="2"/>
      <w:sz w:val="24"/>
      <w:szCs w:val="20"/>
      <w:lang w:val="ru-RU" w:eastAsia="zh-CN" w:bidi="hi-IN"/>
    </w:rPr>
  </w:style>
  <w:style w:type="paragraph" w:styleId="WW">
    <w:name w:val="WW-Заглавие"/>
    <w:basedOn w:val="Normal"/>
    <w:next w:val="7"/>
    <w:qFormat/>
    <w:pPr>
      <w:widowControl w:val="false"/>
      <w:suppressLineNumbers/>
      <w:spacing w:before="120" w:after="120"/>
      <w:ind w:left="72" w:hanging="0"/>
      <w:jc w:val="center"/>
    </w:pPr>
    <w:rPr>
      <w:rFonts w:cs="Lohit Hindi"/>
      <w:b/>
      <w:bCs/>
      <w:i/>
      <w:iCs/>
      <w:color w:val="000000"/>
      <w:spacing w:val="13"/>
      <w:sz w:val="36"/>
      <w:szCs w:val="22"/>
    </w:rPr>
  </w:style>
  <w:style w:type="paragraph" w:styleId="7">
    <w:name w:val="TOC 7"/>
    <w:basedOn w:val="Normal"/>
    <w:next w:val="Normal"/>
    <w:pPr>
      <w:suppressLineNumbers/>
      <w:spacing w:before="120" w:after="120"/>
      <w:ind w:left="1200" w:hanging="0"/>
    </w:pPr>
    <w:rPr>
      <w:rFonts w:ascii="Calibri" w:hAnsi="Calibri" w:cs="Calibri"/>
      <w:i/>
      <w:iCs/>
      <w:color w:val="000000"/>
      <w:sz w:val="18"/>
      <w:szCs w:val="18"/>
    </w:rPr>
  </w:style>
  <w:style w:type="paragraph" w:styleId="42">
    <w:name w:val="Маркированный список 42"/>
    <w:basedOn w:val="WW"/>
    <w:next w:val="Normal"/>
    <w:qFormat/>
    <w:pPr>
      <w:tabs>
        <w:tab w:val="clear" w:pos="708"/>
        <w:tab w:val="left" w:pos="3126" w:leader="none"/>
        <w:tab w:val="left" w:pos="7254" w:leader="none"/>
      </w:tabs>
      <w:spacing w:before="0" w:after="60"/>
      <w:ind w:left="1209" w:hanging="360"/>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imik_urup@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Application>LibreOffice/7.4.3.2$Windows_X86_64 LibreOffice_project/1048a8393ae2eeec98dff31b5c133c5f1d08b890</Application>
  <AppVersion>15.0000</AppVersion>
  <Pages>7</Pages>
  <Words>1903</Words>
  <Characters>14085</Characters>
  <CharactersWithSpaces>15850</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2022-01-25T05:18:00Z</dcterms:created>
  <dc:creator>Пользователь</dc:creator>
  <dc:description/>
  <dc:language>ru-RU</dc:language>
  <cp:lastModifiedBy/>
  <cp:lastPrinted>2022-04-26T17:11:00Z</cp:lastPrinted>
  <dcterms:modified xsi:type="dcterms:W3CDTF">2023-02-20T16:54:56Z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