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легкового автомобиля Toyota  </w:t>
      </w:r>
      <w:r>
        <w:rPr>
          <w:b/>
          <w:color w:val="000000"/>
          <w:spacing w:val="-2"/>
          <w:sz w:val="24"/>
        </w:rPr>
        <w:t xml:space="preserve">(Тойота) </w:t>
      </w:r>
      <w:r>
        <w:rPr>
          <w:b/>
          <w:sz w:val="24"/>
          <w:szCs w:val="24"/>
        </w:rPr>
        <w:t>или «эквивалент» для нужд администрации Урупского муниципального района Карачаево-Черкесской Республики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Наименование объекта закупки, количество поставляемого товара (объем выполняемых работ, оказываемых услуг): </w:t>
      </w:r>
      <w:r>
        <w:rPr>
          <w:sz w:val="24"/>
          <w:szCs w:val="24"/>
        </w:rPr>
        <w:t xml:space="preserve">поставка легкового автомобиля Toyota  </w:t>
      </w:r>
      <w:r>
        <w:rPr>
          <w:color w:val="000000"/>
          <w:spacing w:val="-2"/>
          <w:sz w:val="24"/>
        </w:rPr>
        <w:t>(Тойота )</w:t>
      </w:r>
      <w:r>
        <w:rPr>
          <w:sz w:val="24"/>
          <w:szCs w:val="24"/>
        </w:rPr>
        <w:t xml:space="preserve"> или «эквивалент» для нужд администрации Урупского муниципального района Карачаево-Черкесской Республики.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поставляемого товара, технические характеристики товара указаны в приложении №1 к настоящему Техническому заданию.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2. Требования к гарантийному сроку и (или) объему предоставления гарантий качества товара (работы, услуги),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 (при необходимости)</w:t>
      </w:r>
      <w:r>
        <w:rPr>
          <w:b/>
          <w:bCs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гарантийному обслуживанию поставляемого товара: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Гарантийные обязательства исполняются только в случае незамедлительного обращения к официальному дилеру и при предъявлении заказчиком неисправного автомобиля, а также свидетельства о регистрации и сервисной книжки на него с отметками, подтверждающими регулярное прохождение обязательного технического обслуживания у авторизованного дилера.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включают ремонт или замену (при невозможности ремонта) неисправных деталей, узлов и агрегатов, имеющих производственные дефекты, а также бесплатное выполнение связанных с этим демонтажно-монтажных работ.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комплектующие изделия автомобиля считается равным гарантийному сроку на автомобиль и истекает одновременно с истечением гарантийного срока на автомобиль.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Гарантия качества на комплектующие изделия автомобиля, замененные поставщиком в рамках, указанных выше гарантийных обязательств, истекает одновременно с истечением гарантийного срока на автомобиль.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Гарантийный срок: 36 месяцев с даты поставки товара или 100 000 км пробега (в зависимости от того, что наступит ранее), со дня подписания Сторонами акта о приемке Товара. Конкретный гарантийный срок указан в сервисной книжке с гарантийным талоном.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hd w:fill="auto" w:val="clear"/>
        </w:rPr>
      </w:pPr>
      <w:r>
        <w:rPr>
          <w:rFonts w:eastAsia="Lucida Sans Unicode"/>
          <w:sz w:val="24"/>
          <w:szCs w:val="24"/>
          <w:shd w:fill="auto" w:val="clear"/>
          <w:lang w:bidi="en-US"/>
        </w:rPr>
        <w:t>Поставщик гарантирует, что поставляемый автомобиль отвечает требованиям Решения Комиссии Таможенного союза № 877 от 09.12.2011 «О принятии технического регламента Таможенного союза «О безопасности колесных транспортных средств».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rFonts w:eastAsia="" w:eastAsiaTheme="majorEastAsia"/>
          <w:b/>
          <w:sz w:val="24"/>
          <w:szCs w:val="24"/>
        </w:rPr>
        <w:t xml:space="preserve">Качество товара: </w:t>
      </w:r>
      <w:r>
        <w:rPr>
          <w:sz w:val="24"/>
          <w:szCs w:val="24"/>
        </w:rPr>
        <w:t>Качество поставляемого товара должно полностью соответствовать требованиям, установленным действующим законодательством к подобному товару.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Поставляемый Товар должен быть новым, неиспользованным, не модифицированным, не восстановленными, без повреждений, без каких-либо ограничений (залог, запрет, арест и т.п.), допущенным к свободному обращению на территории Российской Федерации. Поставщик гарантирует, что поставляемый товар не будет иметь дефектов, связанных с разработкой, материалами и качеством изготовления.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наличие технологического пробега, связанного с проведением предъявительских приемо-сдаточных испытаний и погрузкой, разгрузкой автомобиля (не более 50км).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Поставщик на момент поставки товара должен предоставить полный пакет разрешительной документации для регистрации в органах ГИБДД,</w:t>
      </w:r>
      <w:r>
        <w:rPr>
          <w:bCs/>
          <w:sz w:val="24"/>
          <w:szCs w:val="24"/>
        </w:rPr>
        <w:t xml:space="preserve"> в т.ч.: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— </w:t>
      </w:r>
      <w:r>
        <w:rPr>
          <w:spacing w:val="-1"/>
          <w:sz w:val="24"/>
          <w:szCs w:val="24"/>
        </w:rPr>
        <w:t>паспорт технического средства (оригинал) (далее ПТС) – 1 экз.;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— </w:t>
      </w:r>
      <w:r>
        <w:rPr>
          <w:spacing w:val="-1"/>
          <w:sz w:val="24"/>
          <w:szCs w:val="24"/>
        </w:rPr>
        <w:t>инструкцию по эксплуатации автомобиля на русском языке – 1 экз.;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—</w:t>
      </w:r>
      <w:r>
        <w:rPr>
          <w:spacing w:val="-1"/>
          <w:sz w:val="24"/>
          <w:szCs w:val="24"/>
        </w:rPr>
        <w:t>сервисную книжку с гарантийным талоном, с отметкой о проведении предпродажной подготовки – 1 экз;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— </w:t>
      </w:r>
      <w:r>
        <w:rPr>
          <w:spacing w:val="-1"/>
          <w:sz w:val="24"/>
          <w:szCs w:val="24"/>
        </w:rPr>
        <w:t>ключи зажигания в количестве не менее 2 шт.;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— </w:t>
      </w:r>
      <w:r>
        <w:rPr>
          <w:spacing w:val="-1"/>
          <w:sz w:val="24"/>
          <w:szCs w:val="24"/>
        </w:rPr>
        <w:t>акты приема передачи автомобиля - 2 экз.;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— </w:t>
      </w:r>
      <w:r>
        <w:rPr>
          <w:spacing w:val="-1"/>
          <w:sz w:val="24"/>
          <w:szCs w:val="24"/>
        </w:rPr>
        <w:t>информацию об адресах и телефонах уполномоченных заводом-изготовителем станций технического обслуживания официально авторизованных дилеров, осуществляющих техническое обслуживание, гарантийный ремонт, расположенных на территории Российской Федерации (информационное письмо).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оборудования, присутствующих и установленных в товаре на момент его передачи.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Требования к транспортировке, таре и упаковке товара:</w:t>
      </w:r>
      <w:r>
        <w:rPr>
          <w:rFonts w:eastAsia="Arial Unicode MS"/>
          <w:sz w:val="24"/>
          <w:szCs w:val="24"/>
        </w:rPr>
        <w:t xml:space="preserve"> Поставщик своими силами осуществляет поставку товара. </w:t>
      </w:r>
      <w:bookmarkStart w:id="0" w:name="_ref_21960634"/>
      <w:r>
        <w:rPr>
          <w:rFonts w:eastAsia="Arial Unicode MS"/>
          <w:sz w:val="24"/>
          <w:szCs w:val="24"/>
        </w:rPr>
        <w:t>Поставка Товара осуществляется транспортом Поставщика или с привлечением транспорта третьих лиц.</w:t>
      </w:r>
      <w:bookmarkEnd w:id="0"/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en-US"/>
        </w:rPr>
        <w:t>При поставке товара, не соответствующего</w:t>
      </w:r>
      <w:r>
        <w:rPr>
          <w:rFonts w:eastAsia="Arial Unicode MS"/>
          <w:bCs/>
          <w:sz w:val="24"/>
          <w:szCs w:val="24"/>
          <w:lang w:eastAsia="en-US"/>
        </w:rPr>
        <w:t xml:space="preserve"> указанным нормам и требованиям, Заказчик оставляет за собой право предъявить претензии к Поставщику с наложением штрафных санкций.</w:t>
      </w:r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Разгрузка Товара с транспортного средства на объект Заказчика осуществляется силами и за счет Поставщика.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Требования к месту, условиям и срокам (этапам) поставки товара, выполнения работ, оказания услуг</w:t>
      </w:r>
      <w:r>
        <w:rPr>
          <w:sz w:val="24"/>
          <w:szCs w:val="24"/>
        </w:rPr>
        <w:t>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>Поставка товара осуществляется самовывозом, если расстояние не превышает 70 км.</w:t>
      </w:r>
      <w:r>
        <w:rPr>
          <w:sz w:val="24"/>
          <w:szCs w:val="24"/>
        </w:rPr>
        <w:t xml:space="preserve"> от Заказчика, в остальных случаях поставка осуществляется транспортом поставщика. К</w:t>
      </w:r>
      <w:r>
        <w:rPr>
          <w:rFonts w:eastAsia="MS Mincho"/>
          <w:sz w:val="24"/>
          <w:szCs w:val="24"/>
        </w:rPr>
        <w:t xml:space="preserve">онечный пункт поставки: </w:t>
      </w:r>
      <w:r>
        <w:rPr>
          <w:sz w:val="24"/>
          <w:szCs w:val="24"/>
        </w:rPr>
        <w:t xml:space="preserve">369260, КЧР, Урупский район, ст. Преградная, ул. Советская, 60.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техническими средствами третьих лиц за свой счет. </w:t>
      </w:r>
    </w:p>
    <w:p>
      <w:pPr>
        <w:pStyle w:val="Normal"/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Поставка Товара осуществляется в течение </w:t>
      </w:r>
      <w:r>
        <w:rPr>
          <w:sz w:val="24"/>
          <w:szCs w:val="24"/>
          <w:shd w:fill="auto" w:val="clear"/>
        </w:rPr>
        <w:t>10 (десяти) рабочих дней</w:t>
      </w:r>
      <w:r>
        <w:rPr>
          <w:sz w:val="24"/>
          <w:szCs w:val="24"/>
        </w:rPr>
        <w:t xml:space="preserve"> с момента заключения контракта</w:t>
      </w:r>
      <w:r>
        <w:rPr>
          <w:bCs/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Поставщик не менее чем за 2 (рабочих) дня до осуществления поставки Товара направляет в адрес Заказчика уведомление о времени и дате доставки Товара в место доставки.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контракта.</w:t>
      </w:r>
    </w:p>
    <w:p>
      <w:pPr>
        <w:pStyle w:val="ConsPlusNormal1"/>
        <w:ind w:firstLine="709"/>
        <w:jc w:val="both"/>
        <w:rPr>
          <w:sz w:val="24"/>
        </w:rPr>
      </w:pPr>
      <w:r>
        <w:rPr>
          <w:sz w:val="24"/>
        </w:rPr>
        <w:t xml:space="preserve">Проверка на соответствие количества и качества товара требованиям, установленным в контракте, проводится в порядке, установленном действующим законодательством РФ. Товар, не отвечающий требованиям контракта к его качеству, считается не поставленным. 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2">
        <w:r>
          <w:rPr>
            <w:bCs/>
            <w:iCs/>
            <w:sz w:val="24"/>
            <w:szCs w:val="24"/>
          </w:rPr>
          <w:t>законом</w:t>
        </w:r>
      </w:hyperlink>
      <w:r>
        <w:rPr>
          <w:bCs/>
          <w:iCs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bookmarkStart w:id="1" w:name="Par12"/>
      <w:bookmarkEnd w:id="1"/>
      <w:r>
        <w:rPr>
          <w:bCs/>
          <w:iCs/>
          <w:sz w:val="24"/>
          <w:szCs w:val="24"/>
        </w:rPr>
        <w:t>При отсутствии у Заказчика претензий по количеству и качеству поставленного Товара Заказчик в течение 5 (пяти) рабочих дней с момента доставки Товара Поставщиком подписывает акт приема-передачи Товара, товарную (товарно-транспортную) накладную, счет, счет-фактуру. После этого Товар считается переданным Поставщиком Заказчику.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в срок, установленный Контрактом, отказывает в приемке Товара, направляя Поставщику мотивированный отказ от приемки Товара с перечнем выявленных недостатков и указанием сроков их устранения.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соответствующих документов.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>
      <w:pPr>
        <w:pStyle w:val="Normal"/>
        <w:ind w:firstLine="54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5. Форма, сроки и порядок оплаты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товара, работ, услуг, отдельных этапов исполнения контракта: 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shd w:fill="auto" w:val="clear"/>
        </w:rPr>
        <w:t xml:space="preserve"> Заказчик осуществляет оплату Товара за счет средств бюджета 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Урупского муниципального района</w:t>
      </w:r>
      <w:r>
        <w:rPr>
          <w:sz w:val="24"/>
          <w:szCs w:val="24"/>
          <w:shd w:fill="auto" w:val="clear"/>
        </w:rPr>
        <w:t xml:space="preserve"> на 2021 год.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4"/>
          <w:shd w:fill="auto" w:val="clear"/>
        </w:rPr>
        <w:t>5.2.</w:t>
      </w:r>
      <w:r>
        <w:rPr>
          <w:sz w:val="32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 xml:space="preserve">Расчеты между Заказчиком и Поставщиком производятся не позднее 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30</w:t>
      </w:r>
      <w:r>
        <w:rPr>
          <w:sz w:val="24"/>
          <w:szCs w:val="24"/>
          <w:shd w:fill="auto" w:val="clear"/>
        </w:rPr>
        <w:t xml:space="preserve"> (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тридцати</w:t>
      </w:r>
      <w:r>
        <w:rPr>
          <w:sz w:val="24"/>
          <w:szCs w:val="24"/>
          <w:shd w:fill="auto" w:val="clear"/>
        </w:rPr>
        <w:t>) рабочих дней с даты подписания Заказчиком акта приема-передачи Товара.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Контракте счет Поставщика, несет Поставщик.</w:t>
      </w:r>
    </w:p>
    <w:p>
      <w:pPr>
        <w:pStyle w:val="Style20"/>
        <w:tabs>
          <w:tab w:val="clear" w:pos="708"/>
          <w:tab w:val="left" w:pos="284" w:leader="none"/>
          <w:tab w:val="left" w:pos="540" w:leader="none"/>
        </w:tabs>
        <w:ind w:firstLine="709"/>
        <w:jc w:val="both"/>
        <w:rPr>
          <w:rFonts w:ascii="Times New Roman" w:hAnsi="Times New Roman" w:eastAsia="Calibri"/>
        </w:rPr>
      </w:pPr>
      <w:r>
        <w:rPr>
          <w:rFonts w:ascii="Times New Roman" w:hAnsi="Times New Roman"/>
          <w:b/>
        </w:rPr>
        <w:t xml:space="preserve">6. 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eastAsia="Calibri" w:ascii="Times New Roman" w:hAnsi="Times New Roman"/>
        </w:rPr>
        <w:t xml:space="preserve">цена контракта включает в себя </w:t>
      </w:r>
      <w:r>
        <w:rPr>
          <w:rFonts w:ascii="Times New Roman" w:hAnsi="Times New Roman"/>
          <w:bCs/>
          <w:iCs/>
        </w:rPr>
        <w:t xml:space="preserve">стоимость Товара, расходы, связанные с доставкой, разгрузкой - погрузкой, </w:t>
      </w:r>
      <w:r>
        <w:rPr>
          <w:rFonts w:ascii="Times New Roman" w:hAnsi="Times New Roman"/>
        </w:rPr>
        <w:t>размещением в местах хранения Заказчика ( в случаях</w:t>
      </w:r>
      <w:r>
        <w:rPr>
          <w:rFonts w:ascii="Times New Roman" w:hAnsi="Times New Roman"/>
          <w:bCs/>
          <w:iCs/>
        </w:rPr>
        <w:t>, если расстояние превышает 70 км. от Заказчика), стоимость упаковки (тары), маркировки, страхование, таможенные платежи (пошлины), другие установленные налоги, сборы и иные расходы, связанные с исполнением Контракта</w:t>
      </w:r>
      <w:r>
        <w:rPr>
          <w:rFonts w:eastAsia="Calibri" w:ascii="Times New Roman" w:hAnsi="Times New Roman"/>
        </w:rPr>
        <w:t>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Поставщик не является плательщиком НДС </w:t>
      </w:r>
      <w:r>
        <w:rPr>
          <w:spacing w:val="-4"/>
          <w:sz w:val="24"/>
          <w:szCs w:val="24"/>
        </w:rPr>
        <w:t>или освобожден от исполнения обязанности плательщика НДС</w:t>
      </w:r>
      <w:r>
        <w:rPr>
          <w:sz w:val="24"/>
          <w:szCs w:val="24"/>
        </w:rPr>
        <w:t xml:space="preserve">, уменьшение цены Контракта на сумму НДС при оплате работ не производится.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1210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Требования к функциональным, техническим и качественным характеристикам (эксплуатационным характеристикам)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>
      <w:pPr>
        <w:pStyle w:val="Style24"/>
        <w:tabs>
          <w:tab w:val="clear" w:pos="708"/>
          <w:tab w:val="left" w:pos="284" w:leader="none"/>
        </w:tabs>
        <w:suppressAutoHyphens w:val="true"/>
        <w:spacing w:before="0" w:after="0"/>
        <w:ind w:lef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Требования к функциональным, техническим и качественным характеристикам товара: </w:t>
      </w:r>
      <w:r>
        <w:rPr>
          <w:rFonts w:cs="Times New Roman" w:ascii="Times New Roman" w:hAnsi="Times New Roman"/>
          <w:i/>
          <w:sz w:val="24"/>
          <w:szCs w:val="24"/>
        </w:rPr>
        <w:t xml:space="preserve">установлены в </w:t>
      </w:r>
      <w:r>
        <w:rPr>
          <w:rFonts w:cs="Times New Roman" w:ascii="Times New Roman" w:hAnsi="Times New Roman"/>
          <w:bCs/>
          <w:i/>
          <w:sz w:val="24"/>
          <w:szCs w:val="24"/>
        </w:rPr>
        <w:t>Приложении №1 к настоящему Техническому заданию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Иные показатели, связанные с определением соответствия поставляемого товара потребностям заказчика: Поставляемый товар должен быть новым (товаром, который не был в употреблении, в ремонте, в том числе не был восстановлен, у которого не была осуществлена замена составных частей, узлов и агрегатов, не были восстановлены потребительские свойства), без эксплуатационного пробега (допускается наличие технологического пробега связанного с проведением предъявительских приемо-сдаточных испытаний и погрузкой разгрузкой автомобиля (не более 50 км.).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7.3.Требования к году (месяцу) изготовления товара: Год изготовления Товара – не ранее 2021</w:t>
      </w:r>
      <w:bookmarkStart w:id="2" w:name="_GoBack"/>
      <w:bookmarkEnd w:id="2"/>
      <w:r>
        <w:rPr>
          <w:sz w:val="24"/>
          <w:szCs w:val="24"/>
        </w:rPr>
        <w:t xml:space="preserve"> года.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b/>
          <w:b/>
          <w:bCs/>
          <w:i/>
          <w:i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ind w:firstLine="709"/>
        <w:jc w:val="both"/>
        <w:rPr>
          <w:b/>
          <w:b/>
          <w:i/>
          <w:i/>
          <w:iCs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 приложений к настоящему Техническому заданию, являющихся его неотъемлемой частью</w:t>
      </w:r>
      <w:r>
        <w:rPr>
          <w:b/>
          <w:i/>
          <w:iCs/>
          <w:sz w:val="24"/>
          <w:szCs w:val="24"/>
        </w:rPr>
        <w:t>:</w:t>
      </w:r>
    </w:p>
    <w:p>
      <w:pPr>
        <w:pStyle w:val="Normal"/>
        <w:ind w:firstLine="851"/>
        <w:jc w:val="both"/>
        <w:rPr>
          <w:i/>
          <w:i/>
          <w:sz w:val="24"/>
          <w:szCs w:val="24"/>
        </w:rPr>
      </w:pPr>
      <w:r>
        <w:rPr>
          <w:iCs/>
          <w:sz w:val="24"/>
          <w:szCs w:val="24"/>
        </w:rPr>
        <w:t>1) Приложение 1</w:t>
      </w:r>
      <w:r>
        <w:rPr>
          <w:sz w:val="24"/>
          <w:szCs w:val="24"/>
        </w:rPr>
        <w:t>. Т</w:t>
      </w:r>
      <w:r>
        <w:rPr>
          <w:spacing w:val="8"/>
          <w:sz w:val="24"/>
          <w:szCs w:val="24"/>
        </w:rPr>
        <w:t>ребования</w:t>
      </w:r>
      <w:r>
        <w:rPr>
          <w:sz w:val="24"/>
          <w:szCs w:val="24"/>
        </w:rPr>
        <w:t xml:space="preserve"> к функциональным, техническим и качественным характеристикам товара.</w:t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pacing w:val="8"/>
          <w:sz w:val="24"/>
          <w:szCs w:val="24"/>
        </w:rPr>
        <w:t>ребования</w:t>
      </w:r>
      <w:r>
        <w:rPr>
          <w:b/>
          <w:sz w:val="24"/>
          <w:szCs w:val="24"/>
        </w:rPr>
        <w:t xml:space="preserve"> к функциональным, техническим и </w:t>
      </w:r>
    </w:p>
    <w:p>
      <w:pPr>
        <w:pStyle w:val="Normal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качественным характеристикам товара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6342"/>
        <w:gridCol w:w="1283"/>
        <w:gridCol w:w="1235"/>
      </w:tblGrid>
      <w:tr>
        <w:trPr>
          <w:trHeight w:val="43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567" w:hanging="28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товара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7" w:hanging="24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2" w:hanging="28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>
        <w:trPr>
          <w:trHeight w:val="433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57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 (Тойота ) или эквивалент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40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6302"/>
        <w:gridCol w:w="2693"/>
      </w:tblGrid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 xml:space="preserve">№ 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п/п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Описание функциональных требований и технических характеристик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Наличие функций или величина параметра по техническому заданию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kern w:val="0"/>
                <w:lang w:val="ru-RU" w:bidi="ar-SA"/>
              </w:rPr>
              <w:t>Год выпуска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ранее 2021г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Цвет кузова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Белый перламутр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Цвет салона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Бежевый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Количество дверей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Расположение руля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левое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Тип привода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передний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Колесная формула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en-US" w:eastAsia="en-US" w:bidi="ar-SA"/>
              </w:rPr>
              <w:t>4x2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Тип кузова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седан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Двигатель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2,5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Максимальная мощность двигателя, л.с.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190 не более 210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Рабочий объем двигателя (куб.см)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Тип двигателя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spacing w:val="2"/>
                <w:kern w:val="0"/>
                <w:lang w:val="ru-RU" w:bidi="ar-SA"/>
              </w:rPr>
              <w:t xml:space="preserve">Бензиновый, </w:t>
            </w:r>
            <w:r>
              <w:rPr>
                <w:spacing w:val="2"/>
                <w:kern w:val="0"/>
                <w:lang w:val="en-US" w:bidi="ar-SA"/>
              </w:rPr>
              <w:t>DOHC</w:t>
            </w:r>
            <w:r>
              <w:rPr>
                <w:spacing w:val="2"/>
                <w:kern w:val="0"/>
                <w:lang w:val="ru-RU" w:bidi="ar-SA"/>
              </w:rPr>
              <w:t xml:space="preserve">, 16-клапанный </w:t>
            </w:r>
            <w:r>
              <w:rPr>
                <w:spacing w:val="2"/>
                <w:kern w:val="0"/>
                <w:lang w:val="en-US" w:bidi="ar-SA"/>
              </w:rPr>
              <w:t>Dual</w:t>
            </w:r>
            <w:r>
              <w:rPr>
                <w:spacing w:val="2"/>
                <w:kern w:val="0"/>
                <w:lang w:val="ru-RU" w:bidi="ar-SA"/>
              </w:rPr>
              <w:t xml:space="preserve"> </w:t>
            </w:r>
            <w:r>
              <w:rPr>
                <w:spacing w:val="2"/>
                <w:kern w:val="0"/>
                <w:lang w:val="en-US" w:bidi="ar-SA"/>
              </w:rPr>
              <w:t>VVT</w:t>
            </w:r>
            <w:r>
              <w:rPr>
                <w:spacing w:val="2"/>
                <w:kern w:val="0"/>
                <w:lang w:val="ru-RU" w:bidi="ar-SA"/>
              </w:rPr>
              <w:t>-1, 4-цилиндровый, рядный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Трансмиссия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Автоматическая, не менее 8 ступеней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Объем топливного бака, л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60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Пассажировместимость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17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Габаритные размеры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длина, мм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ширина, мм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высота, мм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4880 не более 4900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1830 не более 1850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1450 не более 1460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Полная разрешенная масса, кг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Снаряженная масса, кг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1555 не более 1625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Объем багажного отделения, л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не менее 520 не более 550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Расход топлива смешенный цикл, (л/100 км)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949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Экстерьер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Светодиодные задние фонари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Омыватель фар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Ручки дверей, окрашенные в цвет кузова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Хромированные молдинги подоконной линии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Боковые зеркала заднего вида, окрашенные в цвет кузова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Шины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235/45</w:t>
            </w:r>
            <w:r>
              <w:rPr>
                <w:rFonts w:eastAsia="Calibri"/>
                <w:kern w:val="0"/>
                <w:lang w:val="en-US" w:eastAsia="en-US" w:bidi="ar-SA"/>
              </w:rPr>
              <w:t>R18</w:t>
            </w:r>
          </w:p>
        </w:tc>
      </w:tr>
      <w:tr>
        <w:trPr/>
        <w:tc>
          <w:tcPr>
            <w:tcW w:w="949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Комфорт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Электрохромное зеркало заднего вида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Рулевое колесо с кожаной обивкой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Двухзонный климат-контроль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 xml:space="preserve">Ионизатор воздуха </w:t>
            </w:r>
            <w:r>
              <w:rPr>
                <w:kern w:val="0"/>
                <w:lang w:val="en-US" w:bidi="ar-SA"/>
              </w:rPr>
              <w:t>Nano-e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Датчик дождя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Задние и передние датчики парковки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Камера заднего вида с динамической разметкой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Обивка сидений кожей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37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Электропривод регулировки водительского сидения в 8 направлениях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Сиденье водителя с электрорегулировкой поясничной опры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Электрорегулировка пассажирского сиденья в 4 направлениях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Сиденья второго ряда, складывающиеся в пропорции 60:40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 xml:space="preserve">Интеллектуальная система доступа в автомобиль </w:t>
            </w:r>
            <w:r>
              <w:rPr>
                <w:kern w:val="0"/>
                <w:lang w:val="en-US" w:bidi="ar-SA"/>
              </w:rPr>
              <w:t>Smart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en-US" w:bidi="ar-SA"/>
              </w:rPr>
              <w:t>Entry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7" цветной многофункциональный дисплей на панели приборов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Беспроводное зарядное устройство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Подсветка органов управления, дверных ручек, перчаточного ящика, зоны ног водителя и переднего пассажира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949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Мультимедиа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 xml:space="preserve">Премиальная аудиосистема </w:t>
            </w:r>
            <w:r>
              <w:rPr>
                <w:kern w:val="0"/>
                <w:lang w:val="en-US" w:bidi="ar-SA"/>
              </w:rPr>
              <w:t>JBL</w:t>
            </w:r>
            <w:r>
              <w:rPr>
                <w:kern w:val="0"/>
                <w:lang w:val="ru-RU" w:bidi="ar-SA"/>
              </w:rPr>
              <w:t xml:space="preserve"> с 9 динамиками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Навигационная система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47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9" дисплей мультимедийной системы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949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Безопасность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Коленная подушка безопасности водителя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Система предупреждения об угрозе фронтального столкновения с функцией автоматического торможения и распознаванием пешеходов и велосипедистов (</w:t>
            </w:r>
            <w:r>
              <w:rPr>
                <w:kern w:val="0"/>
                <w:lang w:val="en-US" w:bidi="ar-SA"/>
              </w:rPr>
              <w:t>PCS</w:t>
            </w:r>
            <w:r>
              <w:rPr>
                <w:kern w:val="0"/>
                <w:lang w:val="ru-RU" w:bidi="ar-SA"/>
              </w:rPr>
              <w:t xml:space="preserve">) 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Интеллектуальный круиз-контроль с функцией поддержания дистанции до впереди идущего автомобиля (</w:t>
            </w:r>
            <w:r>
              <w:rPr>
                <w:kern w:val="0"/>
                <w:lang w:val="en-US" w:bidi="ar-SA"/>
              </w:rPr>
              <w:t>iDRCC</w:t>
            </w:r>
            <w:r>
              <w:rPr>
                <w:kern w:val="0"/>
                <w:lang w:val="ru-RU" w:bidi="ar-SA"/>
              </w:rPr>
              <w:t>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Система оповещения о смене полосы движения (</w:t>
            </w:r>
            <w:r>
              <w:rPr>
                <w:kern w:val="0"/>
                <w:lang w:val="en-US" w:bidi="ar-SA"/>
              </w:rPr>
              <w:t>LDA</w:t>
            </w:r>
            <w:r>
              <w:rPr>
                <w:kern w:val="0"/>
                <w:lang w:val="ru-RU" w:bidi="ar-SA"/>
              </w:rPr>
              <w:t>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52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Система удержания по центру полосы движения (</w:t>
            </w:r>
            <w:r>
              <w:rPr>
                <w:kern w:val="0"/>
                <w:lang w:val="en-US" w:bidi="ar-SA"/>
              </w:rPr>
              <w:t>LTA</w:t>
            </w:r>
            <w:r>
              <w:rPr>
                <w:kern w:val="0"/>
                <w:lang w:val="ru-RU" w:bidi="ar-SA"/>
              </w:rPr>
              <w:t>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Система контроля и информирования об усталости водителя (</w:t>
            </w:r>
            <w:r>
              <w:rPr>
                <w:kern w:val="0"/>
                <w:lang w:val="en-US" w:bidi="ar-SA"/>
              </w:rPr>
              <w:t>SWS</w:t>
            </w:r>
            <w:r>
              <w:rPr>
                <w:kern w:val="0"/>
                <w:lang w:val="ru-RU" w:bidi="ar-SA"/>
              </w:rPr>
              <w:t>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53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Система распознавания и информирования водителя о дорожных знаках (</w:t>
            </w:r>
            <w:r>
              <w:rPr>
                <w:kern w:val="0"/>
                <w:lang w:val="en-US" w:bidi="ar-SA"/>
              </w:rPr>
              <w:t>RSA</w:t>
            </w:r>
            <w:r>
              <w:rPr>
                <w:kern w:val="0"/>
                <w:lang w:val="ru-RU" w:bidi="ar-SA"/>
              </w:rPr>
              <w:t>)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949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lang w:val="ru-RU" w:eastAsia="en-US" w:bidi="ar-SA"/>
              </w:rPr>
              <w:t>Зимний комфорт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54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Обогрев рулевого колеса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55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Подогрев передних сидений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56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Подогрев задних сидений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57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Подогрев боковых зеркал заднего вида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58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Электрообогрев форсунок стеклоомывателя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59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Электрообогрев лобового стекла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60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Дополнительные воздуховоды для второго ряда сидений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  <w:tr>
        <w:trPr/>
        <w:tc>
          <w:tcPr>
            <w:tcW w:w="5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61</w:t>
            </w:r>
          </w:p>
        </w:tc>
        <w:tc>
          <w:tcPr>
            <w:tcW w:w="630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Индикатор низкого уровня омывающей жидкости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наличие</w:t>
            </w:r>
          </w:p>
        </w:tc>
      </w:tr>
    </w:tbl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right"/>
        <w:rPr>
          <w:sz w:val="24"/>
          <w:szCs w:val="24"/>
        </w:rPr>
      </w:pPr>
      <w:r>
        <w:rPr/>
      </w:r>
    </w:p>
    <w:p>
      <w:pPr>
        <w:pStyle w:val="Normal"/>
        <w:shd w:val="clear" w:color="auto" w:fill="FFFFFF"/>
        <w:rPr>
          <w:bCs/>
        </w:rPr>
      </w:pPr>
      <w:r>
        <w:rPr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0829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370829"/>
    <w:rPr>
      <w:rFonts w:ascii="Calibri" w:hAnsi="Calibri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370829"/>
    <w:rPr>
      <w:rFonts w:ascii="Arial" w:hAnsi="Arial" w:eastAsia="Times New Roman" w:cs="Arial"/>
      <w:lang w:eastAsia="ru-RU"/>
    </w:rPr>
  </w:style>
  <w:style w:type="character" w:styleId="ConsPlusNormal" w:customStyle="1">
    <w:name w:val="ConsPlusNormal Знак"/>
    <w:link w:val="ConsPlusNormal"/>
    <w:qFormat/>
    <w:locked/>
    <w:rsid w:val="00370829"/>
    <w:rPr>
      <w:rFonts w:ascii="Times New Roman" w:hAnsi="Times New Roman" w:cs="Times New Roman"/>
    </w:rPr>
  </w:style>
  <w:style w:type="character" w:styleId="Sectioninfo2" w:customStyle="1">
    <w:name w:val="section__info2"/>
    <w:basedOn w:val="DefaultParagraphFont"/>
    <w:qFormat/>
    <w:rsid w:val="00370829"/>
    <w:rPr>
      <w:vanish w:val="false"/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22316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22316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uiPriority w:val="99"/>
    <w:rsid w:val="00370829"/>
    <w:pPr>
      <w:widowControl/>
      <w:jc w:val="center"/>
    </w:pPr>
    <w:rPr>
      <w:rFonts w:ascii="Calibri" w:hAnsi="Calibri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link w:val="a6"/>
    <w:unhideWhenUsed/>
    <w:rsid w:val="00370829"/>
    <w:pPr>
      <w:spacing w:before="0" w:after="120"/>
      <w:ind w:left="283" w:firstLine="720"/>
      <w:jc w:val="both"/>
    </w:pPr>
    <w:rPr>
      <w:rFonts w:ascii="Arial" w:hAnsi="Arial" w:cs="Arial"/>
      <w:sz w:val="22"/>
      <w:szCs w:val="22"/>
    </w:rPr>
  </w:style>
  <w:style w:type="paragraph" w:styleId="ConsPlusNormal1" w:customStyle="1">
    <w:name w:val="ConsPlusNormal"/>
    <w:link w:val="ConsPlusNormal0"/>
    <w:qFormat/>
    <w:rsid w:val="003708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2231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2231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738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C66AA0F93B7B943F8FD4F2D15871EE5C1FC4329D4721EB4E073336A42882A76637CAB6A8D9DE0CB112AEC42JCC0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LibreOffice/7.1.3.2$Windows_X86_64 LibreOffice_project/47f78053abe362b9384784d31a6e56f8511eb1c1</Application>
  <AppVersion>15.0000</AppVersion>
  <Pages>7</Pages>
  <Words>1786</Words>
  <Characters>12437</Characters>
  <CharactersWithSpaces>13997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2021-05-17T14:09:00Z</dcterms:created>
  <dc:creator>Admin</dc:creator>
  <dc:description/>
  <dc:language>ru-RU</dc:language>
  <cp:lastModifiedBy/>
  <cp:lastPrinted>2021-07-13T10:16:39Z</cp:lastPrinted>
  <dcterms:modified xsi:type="dcterms:W3CDTF">2021-07-15T09:39:11Z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