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media/image9.jpeg" ContentType="image/jpeg"/>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t>ПРАВИЛА ЗЕМЛЕПОЛЬЗОВАНИЯ И ЗАСТРОЙКИ</w:t>
      </w:r>
    </w:p>
    <w:p>
      <w:pPr>
        <w:pStyle w:val="Normal"/>
        <w:spacing w:lineRule="auto" w:line="240" w:before="0" w:after="0"/>
        <w:jc w:val="center"/>
        <w:rPr>
          <w:rFonts w:ascii="Times New Roman" w:hAnsi="Times New Roman" w:cs="Times New Roman"/>
          <w:b/>
          <w:b/>
          <w:sz w:val="32"/>
          <w:szCs w:val="32"/>
        </w:rPr>
      </w:pPr>
      <w:r>
        <w:rPr>
          <w:rFonts w:cs="Times New Roman" w:ascii="Times New Roman" w:hAnsi="Times New Roman"/>
          <w:b/>
          <w:sz w:val="32"/>
          <w:szCs w:val="32"/>
        </w:rPr>
      </w:r>
    </w:p>
    <w:p>
      <w:pPr>
        <w:pStyle w:val="Normal"/>
        <w:spacing w:lineRule="auto" w:line="240" w:before="0" w:after="0"/>
        <w:jc w:val="center"/>
        <w:rPr>
          <w:rFonts w:ascii="Times New Roman" w:hAnsi="Times New Roman" w:cs="Times New Roman"/>
          <w:sz w:val="32"/>
          <w:szCs w:val="32"/>
        </w:rPr>
      </w:pPr>
      <w:r>
        <w:rPr>
          <w:rFonts w:cs="Times New Roman" w:ascii="Times New Roman" w:hAnsi="Times New Roman"/>
          <w:sz w:val="32"/>
          <w:szCs w:val="32"/>
        </w:rPr>
        <w:t xml:space="preserve">ЗАГЕДАНСКОГО СЕЛЬСКОГО ПОСЕЛЕНИЯ </w:t>
      </w:r>
    </w:p>
    <w:p>
      <w:pPr>
        <w:pStyle w:val="Normal"/>
        <w:spacing w:lineRule="auto" w:line="240" w:before="0" w:after="0"/>
        <w:jc w:val="center"/>
        <w:rPr>
          <w:rFonts w:ascii="Times New Roman" w:hAnsi="Times New Roman" w:cs="Times New Roman"/>
          <w:sz w:val="32"/>
          <w:szCs w:val="32"/>
        </w:rPr>
      </w:pPr>
      <w:r>
        <w:rPr>
          <w:rFonts w:cs="Times New Roman" w:ascii="Times New Roman" w:hAnsi="Times New Roman"/>
          <w:sz w:val="32"/>
          <w:szCs w:val="32"/>
        </w:rPr>
        <w:t xml:space="preserve">УРУПСКОГО МУНИЦИПАЛЬНОГО РАЙОНА </w:t>
      </w:r>
    </w:p>
    <w:p>
      <w:pPr>
        <w:pStyle w:val="Normal"/>
        <w:spacing w:lineRule="auto" w:line="240" w:before="0" w:after="0"/>
        <w:jc w:val="center"/>
        <w:rPr>
          <w:rFonts w:ascii="Times New Roman" w:hAnsi="Times New Roman" w:cs="Times New Roman"/>
          <w:sz w:val="32"/>
          <w:szCs w:val="32"/>
        </w:rPr>
      </w:pPr>
      <w:r>
        <w:rPr>
          <w:rFonts w:cs="Times New Roman" w:ascii="Times New Roman" w:hAnsi="Times New Roman"/>
          <w:sz w:val="32"/>
          <w:szCs w:val="32"/>
        </w:rPr>
        <w:t>КАРАЧАЕВО-ЧЕРКЕССКОЙ РЕСПУБЛИКИ</w:t>
      </w:r>
    </w:p>
    <w:p>
      <w:pPr>
        <w:pStyle w:val="Normal"/>
        <w:rPr>
          <w:sz w:val="24"/>
          <w:szCs w:val="24"/>
        </w:rPr>
      </w:pPr>
      <w:r>
        <w:rPr>
          <w:sz w:val="24"/>
          <w:szCs w:val="24"/>
        </w:rPr>
      </w:r>
      <w:r>
        <w:br w:type="page"/>
      </w:r>
    </w:p>
    <w:sdt>
      <w:sdtPr>
        <w:docPartObj>
          <w:docPartGallery w:val="Table of Contents"/>
          <w:docPartUnique w:val="true"/>
        </w:docPartObj>
        <w:id w:val="738142848"/>
      </w:sdtPr>
      <w:sdtContent>
        <w:p>
          <w:pPr>
            <w:pStyle w:val="TOCHeading"/>
            <w:jc w:val="center"/>
            <w:rPr/>
          </w:pPr>
          <w:r>
            <w:rPr>
              <w:rFonts w:cs="Times New Roman" w:ascii="Times New Roman" w:hAnsi="Times New Roman"/>
              <w:b/>
              <w:color w:val="00000A"/>
              <w:sz w:val="24"/>
              <w:szCs w:val="24"/>
            </w:rPr>
            <w:t>Содержание</w:t>
          </w:r>
        </w:p>
        <w:p>
          <w:pPr>
            <w:pStyle w:val="15"/>
            <w:tabs>
              <w:tab w:val="right" w:pos="9752" w:leader="dot"/>
            </w:tabs>
            <w:rPr>
              <w:rFonts w:eastAsia="" w:eastAsiaTheme="minorEastAsia"/>
              <w:lang w:eastAsia="ru-RU"/>
            </w:rPr>
          </w:pPr>
          <w:r>
            <w:fldChar w:fldCharType="begin"/>
          </w:r>
          <w:r>
            <w:instrText> TOC \z \o "1-3" \u \h</w:instrText>
          </w:r>
          <w:r>
            <w:fldChar w:fldCharType="separate"/>
          </w:r>
          <w:hyperlink w:anchor="_Toc485621408">
            <w:r>
              <w:rPr>
                <w:webHidden/>
                <w:rStyle w:val="Style46"/>
                <w:rFonts w:cs="Times New Roman" w:ascii="Times New Roman" w:hAnsi="Times New Roman"/>
                <w:b/>
                <w:vanish w:val="false"/>
                <w:color w:val="00000A"/>
              </w:rPr>
              <w:t>ВВЕДЕНИЕ</w:t>
            </w:r>
            <w:r>
              <w:rPr>
                <w:webHidden/>
              </w:rPr>
              <w:fldChar w:fldCharType="begin"/>
            </w:r>
            <w:r>
              <w:rPr>
                <w:webHidden/>
              </w:rPr>
              <w:instrText>PAGEREF _Toc485621408 \h</w:instrText>
            </w:r>
            <w:r>
              <w:rPr>
                <w:webHidden/>
              </w:rPr>
              <w:fldChar w:fldCharType="separate"/>
            </w:r>
            <w:r>
              <w:rPr>
                <w:rStyle w:val="Style46"/>
                <w:vanish w:val="false"/>
              </w:rPr>
              <w:tab/>
              <w:t>6</w:t>
            </w:r>
            <w:r>
              <w:rPr>
                <w:webHidden/>
              </w:rPr>
              <w:fldChar w:fldCharType="end"/>
            </w:r>
          </w:hyperlink>
        </w:p>
        <w:p>
          <w:pPr>
            <w:pStyle w:val="15"/>
            <w:tabs>
              <w:tab w:val="right" w:pos="9752" w:leader="dot"/>
            </w:tabs>
            <w:rPr>
              <w:rFonts w:eastAsia="" w:eastAsiaTheme="minorEastAsia"/>
              <w:lang w:eastAsia="ru-RU"/>
            </w:rPr>
          </w:pPr>
          <w:hyperlink w:anchor="_Toc485621409">
            <w:r>
              <w:rPr>
                <w:webHidden/>
                <w:rStyle w:val="Style46"/>
                <w:rFonts w:cs="Times New Roman" w:ascii="Times New Roman" w:hAnsi="Times New Roman"/>
                <w:b/>
                <w:vanish w:val="false"/>
                <w:color w:val="00000A"/>
              </w:rPr>
              <w:t>РАЗДЕЛ I. ПОРЯДОК ПРИМЕНЕНИЯ ПРАВИЛ ЗЕМЛЕПОЛЬЗОВАНИЯ И ЗАСТРОЙКИ И ВНЕСЕНИЯ ИЗМЕНЕНИЙ В УКАЗАННЫЕ ПРАВИЛА</w:t>
            </w:r>
            <w:r>
              <w:rPr>
                <w:webHidden/>
              </w:rPr>
              <w:fldChar w:fldCharType="begin"/>
            </w:r>
            <w:r>
              <w:rPr>
                <w:webHidden/>
              </w:rPr>
              <w:instrText>PAGEREF _Toc485621409 \h</w:instrText>
            </w:r>
            <w:r>
              <w:rPr>
                <w:webHidden/>
              </w:rPr>
              <w:fldChar w:fldCharType="separate"/>
            </w:r>
            <w:r>
              <w:rPr>
                <w:rStyle w:val="Style46"/>
                <w:vanish w:val="false"/>
              </w:rPr>
              <w:tab/>
              <w:t>6</w:t>
            </w:r>
            <w:r>
              <w:rPr>
                <w:webHidden/>
              </w:rPr>
              <w:fldChar w:fldCharType="end"/>
            </w:r>
          </w:hyperlink>
        </w:p>
        <w:p>
          <w:pPr>
            <w:pStyle w:val="15"/>
            <w:tabs>
              <w:tab w:val="right" w:pos="9752" w:leader="dot"/>
            </w:tabs>
            <w:rPr>
              <w:rFonts w:eastAsia="" w:eastAsiaTheme="minorEastAsia"/>
              <w:lang w:eastAsia="ru-RU"/>
            </w:rPr>
          </w:pPr>
          <w:hyperlink w:anchor="_Toc485621410">
            <w:r>
              <w:rPr>
                <w:webHidden/>
                <w:rStyle w:val="Style46"/>
                <w:rFonts w:cs="Times New Roman" w:ascii="Times New Roman" w:hAnsi="Times New Roman"/>
                <w:b/>
                <w:vanish w:val="false"/>
                <w:color w:val="00000A"/>
              </w:rPr>
              <w:t>ГЛАВА 1. ОБЩИЕ ПОЛОЖЕНИЯ</w:t>
            </w:r>
            <w:r>
              <w:rPr>
                <w:webHidden/>
              </w:rPr>
              <w:fldChar w:fldCharType="begin"/>
            </w:r>
            <w:r>
              <w:rPr>
                <w:webHidden/>
              </w:rPr>
              <w:instrText>PAGEREF _Toc485621410 \h</w:instrText>
            </w:r>
            <w:r>
              <w:rPr>
                <w:webHidden/>
              </w:rPr>
              <w:fldChar w:fldCharType="separate"/>
            </w:r>
            <w:r>
              <w:rPr>
                <w:rStyle w:val="Style46"/>
                <w:vanish w:val="false"/>
              </w:rPr>
              <w:tab/>
              <w:t>6</w:t>
            </w:r>
            <w:r>
              <w:rPr>
                <w:webHidden/>
              </w:rPr>
              <w:fldChar w:fldCharType="end"/>
            </w:r>
          </w:hyperlink>
        </w:p>
        <w:p>
          <w:pPr>
            <w:pStyle w:val="213"/>
            <w:tabs>
              <w:tab w:val="right" w:pos="9752" w:leader="dot"/>
            </w:tabs>
            <w:rPr>
              <w:rFonts w:eastAsia="" w:eastAsiaTheme="minorEastAsia"/>
              <w:lang w:eastAsia="ru-RU"/>
            </w:rPr>
          </w:pPr>
          <w:hyperlink w:anchor="_Toc485621411">
            <w:r>
              <w:rPr>
                <w:webHidden/>
                <w:rStyle w:val="Style46"/>
                <w:rFonts w:cs="Times New Roman" w:ascii="Times New Roman" w:hAnsi="Times New Roman"/>
                <w:b/>
                <w:i/>
                <w:vanish w:val="false"/>
                <w:color w:val="00000A"/>
              </w:rPr>
              <w:t>Статья 1. Основные понятия, используемые в Правилах землепользования и застройки</w:t>
            </w:r>
            <w:r>
              <w:rPr>
                <w:webHidden/>
              </w:rPr>
              <w:fldChar w:fldCharType="begin"/>
            </w:r>
            <w:r>
              <w:rPr>
                <w:webHidden/>
              </w:rPr>
              <w:instrText>PAGEREF _Toc485621411 \h</w:instrText>
            </w:r>
            <w:r>
              <w:rPr>
                <w:webHidden/>
              </w:rPr>
              <w:fldChar w:fldCharType="separate"/>
            </w:r>
            <w:r>
              <w:rPr>
                <w:rStyle w:val="Style46"/>
                <w:vanish w:val="false"/>
              </w:rPr>
              <w:tab/>
              <w:t>6</w:t>
            </w:r>
            <w:r>
              <w:rPr>
                <w:webHidden/>
              </w:rPr>
              <w:fldChar w:fldCharType="end"/>
            </w:r>
          </w:hyperlink>
        </w:p>
        <w:p>
          <w:pPr>
            <w:pStyle w:val="213"/>
            <w:tabs>
              <w:tab w:val="right" w:pos="9752" w:leader="dot"/>
            </w:tabs>
            <w:rPr>
              <w:rFonts w:eastAsia="" w:eastAsiaTheme="minorEastAsia"/>
              <w:lang w:eastAsia="ru-RU"/>
            </w:rPr>
          </w:pPr>
          <w:hyperlink w:anchor="_Toc485621412">
            <w:r>
              <w:rPr>
                <w:webHidden/>
                <w:rStyle w:val="Style46"/>
                <w:rFonts w:cs="Times New Roman" w:ascii="Times New Roman" w:hAnsi="Times New Roman"/>
                <w:b/>
                <w:i/>
                <w:vanish w:val="false"/>
                <w:color w:val="00000A"/>
              </w:rPr>
              <w:t>Статья 2. Основания введения, назначение и состав Правил землепользования и застройки</w:t>
            </w:r>
            <w:r>
              <w:rPr>
                <w:webHidden/>
              </w:rPr>
              <w:fldChar w:fldCharType="begin"/>
            </w:r>
            <w:r>
              <w:rPr>
                <w:webHidden/>
              </w:rPr>
              <w:instrText>PAGEREF _Toc485621412 \h</w:instrText>
            </w:r>
            <w:r>
              <w:rPr>
                <w:webHidden/>
              </w:rPr>
              <w:fldChar w:fldCharType="separate"/>
            </w:r>
            <w:r>
              <w:rPr>
                <w:rStyle w:val="Style46"/>
                <w:vanish w:val="false"/>
              </w:rPr>
              <w:tab/>
              <w:t>12</w:t>
            </w:r>
            <w:r>
              <w:rPr>
                <w:webHidden/>
              </w:rPr>
              <w:fldChar w:fldCharType="end"/>
            </w:r>
          </w:hyperlink>
        </w:p>
        <w:p>
          <w:pPr>
            <w:pStyle w:val="213"/>
            <w:tabs>
              <w:tab w:val="right" w:pos="9752" w:leader="dot"/>
            </w:tabs>
            <w:rPr>
              <w:rFonts w:eastAsia="" w:eastAsiaTheme="minorEastAsia"/>
              <w:lang w:eastAsia="ru-RU"/>
            </w:rPr>
          </w:pPr>
          <w:hyperlink w:anchor="_Toc485621413">
            <w:r>
              <w:rPr>
                <w:webHidden/>
                <w:rStyle w:val="Style46"/>
                <w:rFonts w:cs="Times New Roman" w:ascii="Times New Roman" w:hAnsi="Times New Roman"/>
                <w:b/>
                <w:i/>
                <w:vanish w:val="false"/>
                <w:color w:val="00000A"/>
              </w:rPr>
              <w:t>Статья 3. Субъекты и объекты градостроительных отношений</w:t>
            </w:r>
            <w:r>
              <w:rPr>
                <w:webHidden/>
              </w:rPr>
              <w:fldChar w:fldCharType="begin"/>
            </w:r>
            <w:r>
              <w:rPr>
                <w:webHidden/>
              </w:rPr>
              <w:instrText>PAGEREF _Toc485621413 \h</w:instrText>
            </w:r>
            <w:r>
              <w:rPr>
                <w:webHidden/>
              </w:rPr>
              <w:fldChar w:fldCharType="separate"/>
            </w:r>
            <w:r>
              <w:rPr>
                <w:rStyle w:val="Style46"/>
                <w:vanish w:val="false"/>
              </w:rPr>
              <w:tab/>
              <w:t>13</w:t>
            </w:r>
            <w:r>
              <w:rPr>
                <w:webHidden/>
              </w:rPr>
              <w:fldChar w:fldCharType="end"/>
            </w:r>
          </w:hyperlink>
        </w:p>
        <w:p>
          <w:pPr>
            <w:pStyle w:val="213"/>
            <w:tabs>
              <w:tab w:val="right" w:pos="9752" w:leader="dot"/>
            </w:tabs>
            <w:rPr>
              <w:rFonts w:eastAsia="" w:eastAsiaTheme="minorEastAsia"/>
              <w:lang w:eastAsia="ru-RU"/>
            </w:rPr>
          </w:pPr>
          <w:hyperlink w:anchor="_Toc485621414">
            <w:r>
              <w:rPr>
                <w:webHidden/>
                <w:rStyle w:val="Style46"/>
                <w:rFonts w:cs="Times New Roman" w:ascii="Times New Roman" w:hAnsi="Times New Roman"/>
                <w:b/>
                <w:i/>
                <w:vanish w:val="false"/>
                <w:color w:val="00000A"/>
              </w:rPr>
              <w:t>Статья 4. Область применения Правил землепользования и застройки</w:t>
            </w:r>
            <w:r>
              <w:rPr>
                <w:webHidden/>
              </w:rPr>
              <w:fldChar w:fldCharType="begin"/>
            </w:r>
            <w:r>
              <w:rPr>
                <w:webHidden/>
              </w:rPr>
              <w:instrText>PAGEREF _Toc485621414 \h</w:instrText>
            </w:r>
            <w:r>
              <w:rPr>
                <w:webHidden/>
              </w:rPr>
              <w:fldChar w:fldCharType="separate"/>
            </w:r>
            <w:r>
              <w:rPr>
                <w:rStyle w:val="Style46"/>
                <w:vanish w:val="false"/>
              </w:rPr>
              <w:tab/>
              <w:t>14</w:t>
            </w:r>
            <w:r>
              <w:rPr>
                <w:webHidden/>
              </w:rPr>
              <w:fldChar w:fldCharType="end"/>
            </w:r>
          </w:hyperlink>
        </w:p>
        <w:p>
          <w:pPr>
            <w:pStyle w:val="213"/>
            <w:tabs>
              <w:tab w:val="right" w:pos="9752" w:leader="dot"/>
            </w:tabs>
            <w:rPr>
              <w:rFonts w:eastAsia="" w:eastAsiaTheme="minorEastAsia"/>
              <w:lang w:eastAsia="ru-RU"/>
            </w:rPr>
          </w:pPr>
          <w:hyperlink w:anchor="_Toc485621415">
            <w:r>
              <w:rPr>
                <w:webHidden/>
                <w:rStyle w:val="Style46"/>
                <w:rFonts w:cs="Times New Roman" w:ascii="Times New Roman" w:hAnsi="Times New Roman"/>
                <w:b/>
                <w:i/>
                <w:vanish w:val="false"/>
                <w:color w:val="00000A"/>
              </w:rPr>
              <w:t>Статья 5. Открытость и доступность информации о порядке землепользования и застройки</w:t>
            </w:r>
            <w:r>
              <w:rPr>
                <w:webHidden/>
              </w:rPr>
              <w:fldChar w:fldCharType="begin"/>
            </w:r>
            <w:r>
              <w:rPr>
                <w:webHidden/>
              </w:rPr>
              <w:instrText>PAGEREF _Toc485621415 \h</w:instrText>
            </w:r>
            <w:r>
              <w:rPr>
                <w:webHidden/>
              </w:rPr>
              <w:fldChar w:fldCharType="separate"/>
            </w:r>
            <w:r>
              <w:rPr>
                <w:rStyle w:val="Style46"/>
                <w:vanish w:val="false"/>
              </w:rPr>
              <w:tab/>
              <w:t>14</w:t>
            </w:r>
            <w:r>
              <w:rPr>
                <w:webHidden/>
              </w:rPr>
              <w:fldChar w:fldCharType="end"/>
            </w:r>
          </w:hyperlink>
        </w:p>
        <w:p>
          <w:pPr>
            <w:pStyle w:val="213"/>
            <w:tabs>
              <w:tab w:val="right" w:pos="9752" w:leader="dot"/>
            </w:tabs>
            <w:rPr>
              <w:rFonts w:eastAsia="" w:eastAsiaTheme="minorEastAsia"/>
              <w:lang w:eastAsia="ru-RU"/>
            </w:rPr>
          </w:pPr>
          <w:hyperlink w:anchor="_Toc485621416">
            <w:r>
              <w:rPr>
                <w:webHidden/>
                <w:rStyle w:val="Style46"/>
                <w:rFonts w:cs="Times New Roman" w:ascii="Times New Roman" w:hAnsi="Times New Roman"/>
                <w:b/>
                <w:i/>
                <w:vanish w:val="false"/>
                <w:color w:val="00000A"/>
              </w:rPr>
              <w:t>Статья 6. Действие Правил землепользования и застройки по отношению к ранее возникшим правам</w:t>
            </w:r>
            <w:r>
              <w:rPr>
                <w:webHidden/>
              </w:rPr>
              <w:fldChar w:fldCharType="begin"/>
            </w:r>
            <w:r>
              <w:rPr>
                <w:webHidden/>
              </w:rPr>
              <w:instrText>PAGEREF _Toc485621416 \h</w:instrText>
            </w:r>
            <w:r>
              <w:rPr>
                <w:webHidden/>
              </w:rPr>
              <w:fldChar w:fldCharType="separate"/>
            </w:r>
            <w:r>
              <w:rPr>
                <w:rStyle w:val="Style46"/>
                <w:vanish w:val="false"/>
              </w:rPr>
              <w:tab/>
              <w:t>14</w:t>
            </w:r>
            <w:r>
              <w:rPr>
                <w:webHidden/>
              </w:rPr>
              <w:fldChar w:fldCharType="end"/>
            </w:r>
          </w:hyperlink>
        </w:p>
        <w:p>
          <w:pPr>
            <w:pStyle w:val="213"/>
            <w:tabs>
              <w:tab w:val="right" w:pos="9752" w:leader="dot"/>
            </w:tabs>
            <w:rPr>
              <w:rFonts w:eastAsia="" w:eastAsiaTheme="minorEastAsia"/>
              <w:lang w:eastAsia="ru-RU"/>
            </w:rPr>
          </w:pPr>
          <w:hyperlink w:anchor="_Toc485621417">
            <w:r>
              <w:rPr>
                <w:webHidden/>
                <w:rStyle w:val="Style46"/>
                <w:rFonts w:cs="Times New Roman" w:ascii="Times New Roman" w:hAnsi="Times New Roman"/>
                <w:b/>
                <w:i/>
                <w:vanish w:val="false"/>
                <w:color w:val="00000A"/>
              </w:rPr>
              <w:t>Статья 7. Действие Правил землепользования и застройки по отношению к документам территориального планирования, документации по планировке территории</w:t>
            </w:r>
            <w:r>
              <w:rPr>
                <w:webHidden/>
              </w:rPr>
              <w:fldChar w:fldCharType="begin"/>
            </w:r>
            <w:r>
              <w:rPr>
                <w:webHidden/>
              </w:rPr>
              <w:instrText>PAGEREF _Toc485621417 \h</w:instrText>
            </w:r>
            <w:r>
              <w:rPr>
                <w:webHidden/>
              </w:rPr>
              <w:fldChar w:fldCharType="separate"/>
            </w:r>
            <w:r>
              <w:rPr>
                <w:rStyle w:val="Style46"/>
                <w:vanish w:val="false"/>
              </w:rPr>
              <w:tab/>
              <w:t>15</w:t>
            </w:r>
            <w:r>
              <w:rPr>
                <w:webHidden/>
              </w:rPr>
              <w:fldChar w:fldCharType="end"/>
            </w:r>
          </w:hyperlink>
        </w:p>
        <w:p>
          <w:pPr>
            <w:pStyle w:val="15"/>
            <w:tabs>
              <w:tab w:val="right" w:pos="9752" w:leader="dot"/>
            </w:tabs>
            <w:rPr>
              <w:rFonts w:eastAsia="" w:eastAsiaTheme="minorEastAsia"/>
              <w:lang w:eastAsia="ru-RU"/>
            </w:rPr>
          </w:pPr>
          <w:hyperlink w:anchor="_Toc485621418">
            <w:r>
              <w:rPr>
                <w:webHidden/>
                <w:rStyle w:val="Style46"/>
                <w:rFonts w:cs="Times New Roman" w:ascii="Times New Roman" w:hAnsi="Times New Roman"/>
                <w:b/>
                <w:vanish w:val="false"/>
                <w:color w:val="00000A"/>
              </w:rPr>
              <w:t>ГЛАВА 2. РЕГУЛИРОВАНИЕ ЗЕМЛЕПОЛЬЗОВАНИЯ И ЗАСТРОЙКИ</w:t>
            </w:r>
            <w:r>
              <w:rPr>
                <w:webHidden/>
              </w:rPr>
              <w:fldChar w:fldCharType="begin"/>
            </w:r>
            <w:r>
              <w:rPr>
                <w:webHidden/>
              </w:rPr>
              <w:instrText>PAGEREF _Toc485621418 \h</w:instrText>
            </w:r>
            <w:r>
              <w:rPr>
                <w:webHidden/>
              </w:rPr>
              <w:fldChar w:fldCharType="separate"/>
            </w:r>
            <w:r>
              <w:rPr>
                <w:rStyle w:val="Style46"/>
                <w:vanish w:val="false"/>
              </w:rPr>
              <w:tab/>
              <w:t>15</w:t>
            </w:r>
            <w:r>
              <w:rPr>
                <w:webHidden/>
              </w:rPr>
              <w:fldChar w:fldCharType="end"/>
            </w:r>
          </w:hyperlink>
        </w:p>
        <w:p>
          <w:pPr>
            <w:pStyle w:val="213"/>
            <w:tabs>
              <w:tab w:val="right" w:pos="9752" w:leader="dot"/>
            </w:tabs>
            <w:rPr>
              <w:rFonts w:eastAsia="" w:eastAsiaTheme="minorEastAsia"/>
              <w:lang w:eastAsia="ru-RU"/>
            </w:rPr>
          </w:pPr>
          <w:hyperlink w:anchor="_Toc485621419">
            <w:r>
              <w:rPr>
                <w:webHidden/>
                <w:rStyle w:val="Style46"/>
                <w:rFonts w:cs="Times New Roman" w:ascii="Times New Roman" w:hAnsi="Times New Roman"/>
                <w:b/>
                <w:i/>
                <w:vanish w:val="false"/>
                <w:color w:val="00000A"/>
              </w:rPr>
              <w:t>Статья 8. Полномочия органов местного самоуправления в области регулирования отношений по вопросам землепользования и застройки</w:t>
            </w:r>
            <w:r>
              <w:rPr>
                <w:webHidden/>
              </w:rPr>
              <w:fldChar w:fldCharType="begin"/>
            </w:r>
            <w:r>
              <w:rPr>
                <w:webHidden/>
              </w:rPr>
              <w:instrText>PAGEREF _Toc485621419 \h</w:instrText>
            </w:r>
            <w:r>
              <w:rPr>
                <w:webHidden/>
              </w:rPr>
              <w:fldChar w:fldCharType="separate"/>
            </w:r>
            <w:r>
              <w:rPr>
                <w:rStyle w:val="Style46"/>
                <w:vanish w:val="false"/>
              </w:rPr>
              <w:tab/>
              <w:t>15</w:t>
            </w:r>
            <w:r>
              <w:rPr>
                <w:webHidden/>
              </w:rPr>
              <w:fldChar w:fldCharType="end"/>
            </w:r>
          </w:hyperlink>
        </w:p>
        <w:p>
          <w:pPr>
            <w:pStyle w:val="213"/>
            <w:tabs>
              <w:tab w:val="right" w:pos="9752" w:leader="dot"/>
            </w:tabs>
            <w:rPr>
              <w:rFonts w:eastAsia="" w:eastAsiaTheme="minorEastAsia"/>
              <w:lang w:eastAsia="ru-RU"/>
            </w:rPr>
          </w:pPr>
          <w:hyperlink w:anchor="_Toc485621420">
            <w:r>
              <w:rPr>
                <w:webHidden/>
                <w:rStyle w:val="Style46"/>
                <w:rFonts w:cs="Times New Roman" w:ascii="Times New Roman" w:hAnsi="Times New Roman"/>
                <w:b/>
                <w:i/>
                <w:vanish w:val="false"/>
                <w:color w:val="00000A"/>
              </w:rPr>
              <w:t>Статья 9. Комиссия по подготовке проекта Правил землепользования и застройки Загеданского сельского поселения Урупского муниципального района Карачаево-Черкесской Республики</w:t>
            </w:r>
            <w:r>
              <w:rPr>
                <w:webHidden/>
              </w:rPr>
              <w:fldChar w:fldCharType="begin"/>
            </w:r>
            <w:r>
              <w:rPr>
                <w:webHidden/>
              </w:rPr>
              <w:instrText>PAGEREF _Toc485621420 \h</w:instrText>
            </w:r>
            <w:r>
              <w:rPr>
                <w:webHidden/>
              </w:rPr>
              <w:fldChar w:fldCharType="separate"/>
            </w:r>
            <w:r>
              <w:rPr>
                <w:rStyle w:val="Style46"/>
                <w:vanish w:val="false"/>
              </w:rPr>
              <w:tab/>
              <w:t>16</w:t>
            </w:r>
            <w:r>
              <w:rPr>
                <w:webHidden/>
              </w:rPr>
              <w:fldChar w:fldCharType="end"/>
            </w:r>
          </w:hyperlink>
        </w:p>
        <w:p>
          <w:pPr>
            <w:pStyle w:val="213"/>
            <w:tabs>
              <w:tab w:val="right" w:pos="9752" w:leader="dot"/>
            </w:tabs>
            <w:rPr>
              <w:rFonts w:eastAsia="" w:eastAsiaTheme="minorEastAsia"/>
              <w:lang w:eastAsia="ru-RU"/>
            </w:rPr>
          </w:pPr>
          <w:hyperlink w:anchor="_Toc485621421">
            <w:r>
              <w:rPr>
                <w:webHidden/>
                <w:rStyle w:val="Style46"/>
                <w:rFonts w:cs="Times New Roman" w:ascii="Times New Roman" w:hAnsi="Times New Roman"/>
                <w:b/>
                <w:i/>
                <w:vanish w:val="false"/>
                <w:color w:val="00000A"/>
              </w:rPr>
              <w:t>Статья 10. Полномочия комиссии по подготовке проекта Правил землепользования и застройки Загеданского сельского поселения Урупского муниципального района Карачаево-Черкесской Республики</w:t>
            </w:r>
            <w:r>
              <w:rPr>
                <w:webHidden/>
              </w:rPr>
              <w:fldChar w:fldCharType="begin"/>
            </w:r>
            <w:r>
              <w:rPr>
                <w:webHidden/>
              </w:rPr>
              <w:instrText>PAGEREF _Toc485621421 \h</w:instrText>
            </w:r>
            <w:r>
              <w:rPr>
                <w:webHidden/>
              </w:rPr>
              <w:fldChar w:fldCharType="separate"/>
            </w:r>
            <w:r>
              <w:rPr>
                <w:rStyle w:val="Style46"/>
                <w:vanish w:val="false"/>
              </w:rPr>
              <w:tab/>
              <w:t>17</w:t>
            </w:r>
            <w:r>
              <w:rPr>
                <w:webHidden/>
              </w:rPr>
              <w:fldChar w:fldCharType="end"/>
            </w:r>
          </w:hyperlink>
        </w:p>
        <w:p>
          <w:pPr>
            <w:pStyle w:val="213"/>
            <w:tabs>
              <w:tab w:val="right" w:pos="9752" w:leader="dot"/>
            </w:tabs>
            <w:rPr>
              <w:rFonts w:eastAsia="" w:eastAsiaTheme="minorEastAsia"/>
              <w:lang w:eastAsia="ru-RU"/>
            </w:rPr>
          </w:pPr>
          <w:hyperlink w:anchor="_Toc485621422">
            <w:r>
              <w:rPr>
                <w:webHidden/>
                <w:rStyle w:val="Style46"/>
                <w:rFonts w:cs="Times New Roman" w:ascii="Times New Roman" w:hAnsi="Times New Roman"/>
                <w:b/>
                <w:i/>
                <w:vanish w:val="false"/>
                <w:color w:val="00000A"/>
              </w:rPr>
              <w:t>Статья 11. Образование земельных участков из земель или земельных участков, находящихся в государственной или муниципальной собственности</w:t>
            </w:r>
            <w:r>
              <w:rPr>
                <w:webHidden/>
              </w:rPr>
              <w:fldChar w:fldCharType="begin"/>
            </w:r>
            <w:r>
              <w:rPr>
                <w:webHidden/>
              </w:rPr>
              <w:instrText>PAGEREF _Toc485621422 \h</w:instrText>
            </w:r>
            <w:r>
              <w:rPr>
                <w:webHidden/>
              </w:rPr>
              <w:fldChar w:fldCharType="separate"/>
            </w:r>
            <w:r>
              <w:rPr>
                <w:rStyle w:val="Style46"/>
                <w:vanish w:val="false"/>
              </w:rPr>
              <w:tab/>
              <w:t>17</w:t>
            </w:r>
            <w:r>
              <w:rPr>
                <w:webHidden/>
              </w:rPr>
              <w:fldChar w:fldCharType="end"/>
            </w:r>
          </w:hyperlink>
        </w:p>
        <w:p>
          <w:pPr>
            <w:pStyle w:val="213"/>
            <w:tabs>
              <w:tab w:val="right" w:pos="9752" w:leader="dot"/>
            </w:tabs>
            <w:rPr>
              <w:rFonts w:eastAsia="" w:eastAsiaTheme="minorEastAsia"/>
              <w:lang w:eastAsia="ru-RU"/>
            </w:rPr>
          </w:pPr>
          <w:hyperlink w:anchor="_Toc485621423">
            <w:r>
              <w:rPr>
                <w:webHidden/>
                <w:rStyle w:val="Style46"/>
                <w:rFonts w:cs="Times New Roman" w:ascii="Times New Roman" w:hAnsi="Times New Roman"/>
                <w:b/>
                <w:i/>
                <w:vanish w:val="false"/>
                <w:color w:val="00000A"/>
              </w:rPr>
              <w:t>Статья 12. Предоставление земельных участков, находящихся в муниципальной собственности</w:t>
            </w:r>
            <w:r>
              <w:rPr>
                <w:webHidden/>
              </w:rPr>
              <w:fldChar w:fldCharType="begin"/>
            </w:r>
            <w:r>
              <w:rPr>
                <w:webHidden/>
              </w:rPr>
              <w:instrText>PAGEREF _Toc485621423 \h</w:instrText>
            </w:r>
            <w:r>
              <w:rPr>
                <w:webHidden/>
              </w:rPr>
              <w:fldChar w:fldCharType="separate"/>
            </w:r>
            <w:r>
              <w:rPr>
                <w:rStyle w:val="Style46"/>
                <w:vanish w:val="false"/>
              </w:rPr>
              <w:tab/>
              <w:t>18</w:t>
            </w:r>
            <w:r>
              <w:rPr>
                <w:webHidden/>
              </w:rPr>
              <w:fldChar w:fldCharType="end"/>
            </w:r>
          </w:hyperlink>
        </w:p>
        <w:p>
          <w:pPr>
            <w:pStyle w:val="213"/>
            <w:tabs>
              <w:tab w:val="right" w:pos="9752" w:leader="dot"/>
            </w:tabs>
            <w:rPr>
              <w:rFonts w:eastAsia="" w:eastAsiaTheme="minorEastAsia"/>
              <w:lang w:eastAsia="ru-RU"/>
            </w:rPr>
          </w:pPr>
          <w:hyperlink w:anchor="_Toc485621424">
            <w:r>
              <w:rPr>
                <w:webHidden/>
                <w:rStyle w:val="Style46"/>
                <w:rFonts w:cs="Times New Roman" w:ascii="Times New Roman" w:hAnsi="Times New Roman"/>
                <w:b/>
                <w:i/>
                <w:vanish w:val="false"/>
                <w:color w:val="00000A"/>
              </w:rPr>
              <w:t>Статья 13. Обмен земельного участка, находящегося в муниципальной собственности, на земельный участок, находящийся в частной собственности</w:t>
            </w:r>
            <w:r>
              <w:rPr>
                <w:webHidden/>
              </w:rPr>
              <w:fldChar w:fldCharType="begin"/>
            </w:r>
            <w:r>
              <w:rPr>
                <w:webHidden/>
              </w:rPr>
              <w:instrText>PAGEREF _Toc485621424 \h</w:instrText>
            </w:r>
            <w:r>
              <w:rPr>
                <w:webHidden/>
              </w:rPr>
              <w:fldChar w:fldCharType="separate"/>
            </w:r>
            <w:r>
              <w:rPr>
                <w:rStyle w:val="Style46"/>
                <w:vanish w:val="false"/>
              </w:rPr>
              <w:tab/>
              <w:t>20</w:t>
            </w:r>
            <w:r>
              <w:rPr>
                <w:webHidden/>
              </w:rPr>
              <w:fldChar w:fldCharType="end"/>
            </w:r>
          </w:hyperlink>
        </w:p>
        <w:p>
          <w:pPr>
            <w:pStyle w:val="213"/>
            <w:tabs>
              <w:tab w:val="right" w:pos="9752" w:leader="dot"/>
            </w:tabs>
            <w:rPr>
              <w:rFonts w:eastAsia="" w:eastAsiaTheme="minorEastAsia"/>
              <w:lang w:eastAsia="ru-RU"/>
            </w:rPr>
          </w:pPr>
          <w:hyperlink w:anchor="_Toc485621425">
            <w:r>
              <w:rPr>
                <w:webHidden/>
                <w:rStyle w:val="Style46"/>
                <w:rFonts w:cs="Times New Roman" w:ascii="Times New Roman" w:hAnsi="Times New Roman"/>
                <w:b/>
                <w:i/>
                <w:vanish w:val="false"/>
                <w:color w:val="00000A"/>
              </w:rPr>
              <w:t>Статья 14. Изъятие земельных участков и резервирование земель для муниципальных нужд</w:t>
            </w:r>
            <w:r>
              <w:rPr>
                <w:webHidden/>
              </w:rPr>
              <w:fldChar w:fldCharType="begin"/>
            </w:r>
            <w:r>
              <w:rPr>
                <w:webHidden/>
              </w:rPr>
              <w:instrText>PAGEREF _Toc485621425 \h</w:instrText>
            </w:r>
            <w:r>
              <w:rPr>
                <w:webHidden/>
              </w:rPr>
              <w:fldChar w:fldCharType="separate"/>
            </w:r>
            <w:r>
              <w:rPr>
                <w:rStyle w:val="Style46"/>
                <w:vanish w:val="false"/>
              </w:rPr>
              <w:tab/>
              <w:t>20</w:t>
            </w:r>
            <w:r>
              <w:rPr>
                <w:webHidden/>
              </w:rPr>
              <w:fldChar w:fldCharType="end"/>
            </w:r>
          </w:hyperlink>
        </w:p>
        <w:p>
          <w:pPr>
            <w:pStyle w:val="213"/>
            <w:tabs>
              <w:tab w:val="right" w:pos="9752" w:leader="dot"/>
            </w:tabs>
            <w:rPr>
              <w:rFonts w:eastAsia="" w:eastAsiaTheme="minorEastAsia"/>
              <w:lang w:eastAsia="ru-RU"/>
            </w:rPr>
          </w:pPr>
          <w:hyperlink w:anchor="_Toc485621426">
            <w:r>
              <w:rPr>
                <w:webHidden/>
                <w:rStyle w:val="Style46"/>
                <w:rFonts w:cs="Times New Roman" w:ascii="Times New Roman" w:hAnsi="Times New Roman"/>
                <w:b/>
                <w:i/>
                <w:vanish w:val="false"/>
                <w:color w:val="00000A"/>
              </w:rPr>
              <w:t>Статья 15. Договоры о развитии и освоении территории</w:t>
            </w:r>
            <w:r>
              <w:rPr>
                <w:webHidden/>
              </w:rPr>
              <w:fldChar w:fldCharType="begin"/>
            </w:r>
            <w:r>
              <w:rPr>
                <w:webHidden/>
              </w:rPr>
              <w:instrText>PAGEREF _Toc485621426 \h</w:instrText>
            </w:r>
            <w:r>
              <w:rPr>
                <w:webHidden/>
              </w:rPr>
              <w:fldChar w:fldCharType="separate"/>
            </w:r>
            <w:r>
              <w:rPr>
                <w:rStyle w:val="Style46"/>
                <w:vanish w:val="false"/>
              </w:rPr>
              <w:tab/>
              <w:t>21</w:t>
            </w:r>
            <w:r>
              <w:rPr>
                <w:webHidden/>
              </w:rPr>
              <w:fldChar w:fldCharType="end"/>
            </w:r>
          </w:hyperlink>
        </w:p>
        <w:p>
          <w:pPr>
            <w:pStyle w:val="213"/>
            <w:tabs>
              <w:tab w:val="right" w:pos="9752" w:leader="dot"/>
            </w:tabs>
            <w:rPr>
              <w:rFonts w:eastAsia="" w:eastAsiaTheme="minorEastAsia"/>
              <w:lang w:eastAsia="ru-RU"/>
            </w:rPr>
          </w:pPr>
          <w:hyperlink w:anchor="_Toc485621427">
            <w:r>
              <w:rPr>
                <w:webHidden/>
                <w:rStyle w:val="Style46"/>
                <w:rFonts w:cs="Times New Roman" w:ascii="Times New Roman" w:hAnsi="Times New Roman"/>
                <w:b/>
                <w:i/>
                <w:vanish w:val="false"/>
                <w:color w:val="00000A"/>
              </w:rPr>
              <w:t>Статья 16. Государственный земельный надзор, муниципальный земельный контроль, общественный земельный контроль</w:t>
            </w:r>
            <w:r>
              <w:rPr>
                <w:webHidden/>
              </w:rPr>
              <w:fldChar w:fldCharType="begin"/>
            </w:r>
            <w:r>
              <w:rPr>
                <w:webHidden/>
              </w:rPr>
              <w:instrText>PAGEREF _Toc485621427 \h</w:instrText>
            </w:r>
            <w:r>
              <w:rPr>
                <w:webHidden/>
              </w:rPr>
              <w:fldChar w:fldCharType="separate"/>
            </w:r>
            <w:r>
              <w:rPr>
                <w:rStyle w:val="Style46"/>
                <w:vanish w:val="false"/>
              </w:rPr>
              <w:tab/>
              <w:t>21</w:t>
            </w:r>
            <w:r>
              <w:rPr>
                <w:webHidden/>
              </w:rPr>
              <w:fldChar w:fldCharType="end"/>
            </w:r>
          </w:hyperlink>
        </w:p>
        <w:p>
          <w:pPr>
            <w:pStyle w:val="213"/>
            <w:tabs>
              <w:tab w:val="right" w:pos="9752" w:leader="dot"/>
            </w:tabs>
            <w:rPr>
              <w:rFonts w:eastAsia="" w:eastAsiaTheme="minorEastAsia"/>
              <w:lang w:eastAsia="ru-RU"/>
            </w:rPr>
          </w:pPr>
          <w:hyperlink w:anchor="_Toc485621428">
            <w:r>
              <w:rPr>
                <w:webHidden/>
                <w:rStyle w:val="Style46"/>
                <w:rFonts w:eastAsia="Times New Roman" w:cs="Times New Roman" w:ascii="Times New Roman" w:hAnsi="Times New Roman"/>
                <w:b/>
                <w:bCs/>
                <w:i/>
                <w:vanish w:val="false"/>
                <w:color w:val="00000A"/>
                <w:lang w:bidi="ru-RU"/>
              </w:rPr>
              <w:t xml:space="preserve">Статья 17. </w:t>
            </w:r>
            <w:r>
              <w:rPr>
                <w:rStyle w:val="Style46"/>
                <w:rFonts w:eastAsia="Calibri" w:cs="Times New Roman" w:ascii="Times New Roman" w:hAnsi="Times New Roman"/>
                <w:b/>
                <w:bCs/>
                <w:i/>
                <w:color w:val="00000A"/>
                <w:lang w:eastAsia="ar-SA" w:bidi="ru-RU"/>
              </w:rPr>
              <w:t>Комплексное и устойчивое развитие территории</w:t>
            </w:r>
            <w:r>
              <w:rPr>
                <w:webHidden/>
              </w:rPr>
              <w:fldChar w:fldCharType="begin"/>
            </w:r>
            <w:r>
              <w:rPr>
                <w:webHidden/>
              </w:rPr>
              <w:instrText>PAGEREF _Toc485621428 \h</w:instrText>
            </w:r>
            <w:r>
              <w:rPr>
                <w:webHidden/>
              </w:rPr>
              <w:fldChar w:fldCharType="separate"/>
            </w:r>
            <w:r>
              <w:rPr>
                <w:rStyle w:val="Style46"/>
                <w:vanish w:val="false"/>
              </w:rPr>
              <w:tab/>
              <w:t>21</w:t>
            </w:r>
            <w:r>
              <w:rPr>
                <w:webHidden/>
              </w:rPr>
              <w:fldChar w:fldCharType="end"/>
            </w:r>
          </w:hyperlink>
        </w:p>
        <w:p>
          <w:pPr>
            <w:pStyle w:val="15"/>
            <w:tabs>
              <w:tab w:val="right" w:pos="9752" w:leader="dot"/>
            </w:tabs>
            <w:rPr>
              <w:rFonts w:eastAsia="" w:eastAsiaTheme="minorEastAsia"/>
              <w:lang w:eastAsia="ru-RU"/>
            </w:rPr>
          </w:pPr>
          <w:hyperlink w:anchor="_Toc485621429">
            <w:r>
              <w:rPr>
                <w:webHidden/>
                <w:rStyle w:val="Style46"/>
                <w:rFonts w:cs="Times New Roman" w:ascii="Times New Roman" w:hAnsi="Times New Roman"/>
                <w:b/>
                <w:vanish w:val="false"/>
                <w:color w:val="00000A"/>
              </w:rPr>
              <w:t>ГЛАВА 3. ИЗМЕНЕНИЕ ВИДОВ РАЗРЕШЁННОГО ИСПОЛЬЗОВАНИЯ ЗЕМЕЛЬНЫХ УЧАСТКОВ И ОБЪЕКТОВ КАПИТАЛЬНОГО СТРОИТЕЛЬСТВА ФИЗИЧЕСКИМИ И ЮРИДИЧЕСКИМИ ЛИЦАМИ</w:t>
            </w:r>
            <w:r>
              <w:rPr>
                <w:webHidden/>
              </w:rPr>
              <w:fldChar w:fldCharType="begin"/>
            </w:r>
            <w:r>
              <w:rPr>
                <w:webHidden/>
              </w:rPr>
              <w:instrText>PAGEREF _Toc485621429 \h</w:instrText>
            </w:r>
            <w:r>
              <w:rPr>
                <w:webHidden/>
              </w:rPr>
              <w:fldChar w:fldCharType="separate"/>
            </w:r>
            <w:r>
              <w:rPr>
                <w:rStyle w:val="Style46"/>
                <w:vanish w:val="false"/>
              </w:rPr>
              <w:tab/>
              <w:t>22</w:t>
            </w:r>
            <w:r>
              <w:rPr>
                <w:webHidden/>
              </w:rPr>
              <w:fldChar w:fldCharType="end"/>
            </w:r>
          </w:hyperlink>
        </w:p>
        <w:p>
          <w:pPr>
            <w:pStyle w:val="213"/>
            <w:tabs>
              <w:tab w:val="right" w:pos="9752" w:leader="dot"/>
            </w:tabs>
            <w:rPr>
              <w:rFonts w:eastAsia="" w:eastAsiaTheme="minorEastAsia"/>
              <w:lang w:eastAsia="ru-RU"/>
            </w:rPr>
          </w:pPr>
          <w:hyperlink w:anchor="_Toc485621430">
            <w:r>
              <w:rPr>
                <w:webHidden/>
                <w:rStyle w:val="Style46"/>
                <w:rFonts w:cs="Times New Roman" w:ascii="Times New Roman" w:hAnsi="Times New Roman"/>
                <w:b/>
                <w:i/>
                <w:vanish w:val="false"/>
                <w:color w:val="00000A"/>
              </w:rPr>
              <w:t>Статья 18. Виды разрешённого использования земельных участков и объектов капитального строительства</w:t>
            </w:r>
            <w:r>
              <w:rPr>
                <w:webHidden/>
              </w:rPr>
              <w:fldChar w:fldCharType="begin"/>
            </w:r>
            <w:r>
              <w:rPr>
                <w:webHidden/>
              </w:rPr>
              <w:instrText>PAGEREF _Toc485621430 \h</w:instrText>
            </w:r>
            <w:r>
              <w:rPr>
                <w:webHidden/>
              </w:rPr>
              <w:fldChar w:fldCharType="separate"/>
            </w:r>
            <w:r>
              <w:rPr>
                <w:rStyle w:val="Style46"/>
                <w:vanish w:val="false"/>
              </w:rPr>
              <w:tab/>
              <w:t>22</w:t>
            </w:r>
            <w:r>
              <w:rPr>
                <w:webHidden/>
              </w:rPr>
              <w:fldChar w:fldCharType="end"/>
            </w:r>
          </w:hyperlink>
        </w:p>
        <w:p>
          <w:pPr>
            <w:pStyle w:val="213"/>
            <w:tabs>
              <w:tab w:val="right" w:pos="9752" w:leader="dot"/>
            </w:tabs>
            <w:rPr>
              <w:rFonts w:eastAsia="" w:eastAsiaTheme="minorEastAsia"/>
              <w:lang w:eastAsia="ru-RU"/>
            </w:rPr>
          </w:pPr>
          <w:hyperlink w:anchor="_Toc485621431">
            <w:r>
              <w:rPr>
                <w:webHidden/>
                <w:rStyle w:val="Style46"/>
                <w:rFonts w:cs="Times New Roman" w:ascii="Times New Roman" w:hAnsi="Times New Roman"/>
                <w:b/>
                <w:i/>
                <w:vanish w:val="false"/>
                <w:color w:val="00000A"/>
              </w:rPr>
              <w:t>Статья 19. Разрешённое использование земельных участков и объектов, не являющихся объектами капитального строительства</w:t>
            </w:r>
            <w:r>
              <w:rPr>
                <w:webHidden/>
              </w:rPr>
              <w:fldChar w:fldCharType="begin"/>
            </w:r>
            <w:r>
              <w:rPr>
                <w:webHidden/>
              </w:rPr>
              <w:instrText>PAGEREF _Toc485621431 \h</w:instrText>
            </w:r>
            <w:r>
              <w:rPr>
                <w:webHidden/>
              </w:rPr>
              <w:fldChar w:fldCharType="separate"/>
            </w:r>
            <w:r>
              <w:rPr>
                <w:rStyle w:val="Style46"/>
                <w:vanish w:val="false"/>
              </w:rPr>
              <w:tab/>
              <w:t>23</w:t>
            </w:r>
            <w:r>
              <w:rPr>
                <w:webHidden/>
              </w:rPr>
              <w:fldChar w:fldCharType="end"/>
            </w:r>
          </w:hyperlink>
        </w:p>
        <w:p>
          <w:pPr>
            <w:pStyle w:val="213"/>
            <w:tabs>
              <w:tab w:val="right" w:pos="9752" w:leader="dot"/>
            </w:tabs>
            <w:rPr>
              <w:rFonts w:eastAsia="" w:eastAsiaTheme="minorEastAsia"/>
              <w:lang w:eastAsia="ru-RU"/>
            </w:rPr>
          </w:pPr>
          <w:hyperlink w:anchor="_Toc485621432">
            <w:r>
              <w:rPr>
                <w:webHidden/>
                <w:rStyle w:val="Style46"/>
                <w:rFonts w:cs="Times New Roman" w:ascii="Times New Roman" w:hAnsi="Times New Roman"/>
                <w:b/>
                <w:i/>
                <w:vanish w:val="false"/>
                <w:color w:val="00000A"/>
              </w:rPr>
              <w:t>Статья 20. 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регламента</w:t>
            </w:r>
            <w:r>
              <w:rPr>
                <w:webHidden/>
              </w:rPr>
              <w:fldChar w:fldCharType="begin"/>
            </w:r>
            <w:r>
              <w:rPr>
                <w:webHidden/>
              </w:rPr>
              <w:instrText>PAGEREF _Toc485621432 \h</w:instrText>
            </w:r>
            <w:r>
              <w:rPr>
                <w:webHidden/>
              </w:rPr>
              <w:fldChar w:fldCharType="separate"/>
            </w:r>
            <w:r>
              <w:rPr>
                <w:rStyle w:val="Style46"/>
                <w:vanish w:val="false"/>
              </w:rPr>
              <w:tab/>
              <w:t>23</w:t>
            </w:r>
            <w:r>
              <w:rPr>
                <w:webHidden/>
              </w:rPr>
              <w:fldChar w:fldCharType="end"/>
            </w:r>
          </w:hyperlink>
        </w:p>
        <w:p>
          <w:pPr>
            <w:pStyle w:val="213"/>
            <w:tabs>
              <w:tab w:val="right" w:pos="9752" w:leader="dot"/>
            </w:tabs>
            <w:rPr>
              <w:rFonts w:eastAsia="" w:eastAsiaTheme="minorEastAsia"/>
              <w:lang w:eastAsia="ru-RU"/>
            </w:rPr>
          </w:pPr>
          <w:hyperlink w:anchor="_Toc485621433">
            <w:r>
              <w:rPr>
                <w:webHidden/>
                <w:rStyle w:val="Style46"/>
                <w:rFonts w:cs="Times New Roman" w:ascii="Times New Roman" w:hAnsi="Times New Roman"/>
                <w:b/>
                <w:i/>
                <w:vanish w:val="false"/>
                <w:color w:val="00000A"/>
              </w:rPr>
              <w:t>Статья 21. Порядок предоставления разрешения на условно разрешённый вид использования земельного участка или объекта капитального строительства</w:t>
            </w:r>
            <w:r>
              <w:rPr>
                <w:webHidden/>
              </w:rPr>
              <w:fldChar w:fldCharType="begin"/>
            </w:r>
            <w:r>
              <w:rPr>
                <w:webHidden/>
              </w:rPr>
              <w:instrText>PAGEREF _Toc485621433 \h</w:instrText>
            </w:r>
            <w:r>
              <w:rPr>
                <w:webHidden/>
              </w:rPr>
              <w:fldChar w:fldCharType="separate"/>
            </w:r>
            <w:r>
              <w:rPr>
                <w:rStyle w:val="Style46"/>
                <w:vanish w:val="false"/>
              </w:rPr>
              <w:tab/>
              <w:t>24</w:t>
            </w:r>
            <w:r>
              <w:rPr>
                <w:webHidden/>
              </w:rPr>
              <w:fldChar w:fldCharType="end"/>
            </w:r>
          </w:hyperlink>
        </w:p>
        <w:p>
          <w:pPr>
            <w:pStyle w:val="213"/>
            <w:tabs>
              <w:tab w:val="right" w:pos="9752" w:leader="dot"/>
            </w:tabs>
            <w:rPr>
              <w:rFonts w:eastAsia="" w:eastAsiaTheme="minorEastAsia"/>
              <w:lang w:eastAsia="ru-RU"/>
            </w:rPr>
          </w:pPr>
          <w:hyperlink w:anchor="_Toc485621434">
            <w:r>
              <w:rPr>
                <w:webHidden/>
                <w:rStyle w:val="Style46"/>
                <w:rFonts w:cs="Times New Roman" w:ascii="Times New Roman" w:hAnsi="Times New Roman"/>
                <w:b/>
                <w:i/>
                <w:vanish w:val="false"/>
                <w:color w:val="00000A"/>
              </w:rPr>
              <w:t>Статья 22. Общие требования градостроительного регламента в части предельных размеров земельных участков и предельных параметров разрешённого строительства, реконструкции объектов капитального строительства</w:t>
            </w:r>
            <w:r>
              <w:rPr>
                <w:webHidden/>
              </w:rPr>
              <w:fldChar w:fldCharType="begin"/>
            </w:r>
            <w:r>
              <w:rPr>
                <w:webHidden/>
              </w:rPr>
              <w:instrText>PAGEREF _Toc485621434 \h</w:instrText>
            </w:r>
            <w:r>
              <w:rPr>
                <w:webHidden/>
              </w:rPr>
              <w:fldChar w:fldCharType="separate"/>
            </w:r>
            <w:r>
              <w:rPr>
                <w:rStyle w:val="Style46"/>
                <w:vanish w:val="false"/>
              </w:rPr>
              <w:tab/>
              <w:t>25</w:t>
            </w:r>
            <w:r>
              <w:rPr>
                <w:webHidden/>
              </w:rPr>
              <w:fldChar w:fldCharType="end"/>
            </w:r>
          </w:hyperlink>
        </w:p>
        <w:p>
          <w:pPr>
            <w:pStyle w:val="213"/>
            <w:tabs>
              <w:tab w:val="right" w:pos="9752" w:leader="dot"/>
            </w:tabs>
            <w:rPr>
              <w:rFonts w:eastAsia="" w:eastAsiaTheme="minorEastAsia"/>
              <w:lang w:eastAsia="ru-RU"/>
            </w:rPr>
          </w:pPr>
          <w:hyperlink w:anchor="_Toc485621435">
            <w:r>
              <w:rPr>
                <w:webHidden/>
                <w:rStyle w:val="Style46"/>
                <w:rFonts w:cs="Times New Roman" w:ascii="Times New Roman" w:hAnsi="Times New Roman"/>
                <w:b/>
                <w:i/>
                <w:vanish w:val="false"/>
                <w:color w:val="00000A"/>
              </w:rPr>
              <w:t>Статья 23.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r>
              <w:rPr>
                <w:webHidden/>
              </w:rPr>
              <w:fldChar w:fldCharType="begin"/>
            </w:r>
            <w:r>
              <w:rPr>
                <w:webHidden/>
              </w:rPr>
              <w:instrText>PAGEREF _Toc485621435 \h</w:instrText>
            </w:r>
            <w:r>
              <w:rPr>
                <w:webHidden/>
              </w:rPr>
              <w:fldChar w:fldCharType="separate"/>
            </w:r>
            <w:r>
              <w:rPr>
                <w:rStyle w:val="Style46"/>
                <w:vanish w:val="false"/>
              </w:rPr>
              <w:tab/>
              <w:t>25</w:t>
            </w:r>
            <w:r>
              <w:rPr>
                <w:webHidden/>
              </w:rPr>
              <w:fldChar w:fldCharType="end"/>
            </w:r>
          </w:hyperlink>
        </w:p>
        <w:p>
          <w:pPr>
            <w:pStyle w:val="213"/>
            <w:tabs>
              <w:tab w:val="right" w:pos="9752" w:leader="dot"/>
            </w:tabs>
            <w:rPr>
              <w:rFonts w:eastAsia="" w:eastAsiaTheme="minorEastAsia"/>
              <w:lang w:eastAsia="ru-RU"/>
            </w:rPr>
          </w:pPr>
          <w:hyperlink w:anchor="_Toc485621436">
            <w:r>
              <w:rPr>
                <w:webHidden/>
                <w:rStyle w:val="Style46"/>
                <w:rFonts w:cs="Times New Roman" w:ascii="Times New Roman" w:hAnsi="Times New Roman"/>
                <w:b/>
                <w:i/>
                <w:vanish w:val="false"/>
                <w:color w:val="00000A"/>
              </w:rPr>
              <w:t>Статья 24. Общие требования градостроительного регламента в части ограничений использования территорий, земельных участков и объектов капитального строительства</w:t>
            </w:r>
            <w:r>
              <w:rPr>
                <w:webHidden/>
              </w:rPr>
              <w:fldChar w:fldCharType="begin"/>
            </w:r>
            <w:r>
              <w:rPr>
                <w:webHidden/>
              </w:rPr>
              <w:instrText>PAGEREF _Toc485621436 \h</w:instrText>
            </w:r>
            <w:r>
              <w:rPr>
                <w:webHidden/>
              </w:rPr>
              <w:fldChar w:fldCharType="separate"/>
            </w:r>
            <w:r>
              <w:rPr>
                <w:rStyle w:val="Style46"/>
                <w:vanish w:val="false"/>
              </w:rPr>
              <w:tab/>
              <w:t>26</w:t>
            </w:r>
            <w:r>
              <w:rPr>
                <w:webHidden/>
              </w:rPr>
              <w:fldChar w:fldCharType="end"/>
            </w:r>
          </w:hyperlink>
        </w:p>
        <w:p>
          <w:pPr>
            <w:pStyle w:val="15"/>
            <w:tabs>
              <w:tab w:val="right" w:pos="9752" w:leader="dot"/>
            </w:tabs>
            <w:rPr>
              <w:rFonts w:eastAsia="" w:eastAsiaTheme="minorEastAsia"/>
              <w:lang w:eastAsia="ru-RU"/>
            </w:rPr>
          </w:pPr>
          <w:hyperlink w:anchor="_Toc485621437">
            <w:r>
              <w:rPr>
                <w:webHidden/>
                <w:rStyle w:val="Style46"/>
                <w:rFonts w:cs="Times New Roman" w:ascii="Times New Roman" w:hAnsi="Times New Roman"/>
                <w:b/>
                <w:vanish w:val="false"/>
                <w:color w:val="00000A"/>
              </w:rPr>
              <w:t>ГЛАВА 4. ПОДГОТОВКА ДОКУМЕНТАЦИИ ПО ПЛАНИРОВКЕ ТЕРРИТОРИИ</w:t>
            </w:r>
            <w:r>
              <w:rPr>
                <w:webHidden/>
              </w:rPr>
              <w:fldChar w:fldCharType="begin"/>
            </w:r>
            <w:r>
              <w:rPr>
                <w:webHidden/>
              </w:rPr>
              <w:instrText>PAGEREF _Toc485621437 \h</w:instrText>
            </w:r>
            <w:r>
              <w:rPr>
                <w:webHidden/>
              </w:rPr>
              <w:fldChar w:fldCharType="separate"/>
            </w:r>
            <w:r>
              <w:rPr>
                <w:rStyle w:val="Style46"/>
                <w:vanish w:val="false"/>
              </w:rPr>
              <w:tab/>
              <w:t>27</w:t>
            </w:r>
            <w:r>
              <w:rPr>
                <w:webHidden/>
              </w:rPr>
              <w:fldChar w:fldCharType="end"/>
            </w:r>
          </w:hyperlink>
        </w:p>
        <w:p>
          <w:pPr>
            <w:pStyle w:val="213"/>
            <w:tabs>
              <w:tab w:val="right" w:pos="9752" w:leader="dot"/>
            </w:tabs>
            <w:rPr>
              <w:rFonts w:eastAsia="" w:eastAsiaTheme="minorEastAsia"/>
              <w:lang w:eastAsia="ru-RU"/>
            </w:rPr>
          </w:pPr>
          <w:hyperlink w:anchor="_Toc485621438">
            <w:r>
              <w:rPr>
                <w:webHidden/>
                <w:rStyle w:val="Style46"/>
                <w:rFonts w:cs="Times New Roman" w:ascii="Times New Roman" w:hAnsi="Times New Roman"/>
                <w:b/>
                <w:i/>
                <w:vanish w:val="false"/>
                <w:color w:val="00000A"/>
              </w:rPr>
              <w:t>Статья 25. Общие положения о планировке территории</w:t>
            </w:r>
            <w:r>
              <w:rPr>
                <w:webHidden/>
              </w:rPr>
              <w:fldChar w:fldCharType="begin"/>
            </w:r>
            <w:r>
              <w:rPr>
                <w:webHidden/>
              </w:rPr>
              <w:instrText>PAGEREF _Toc485621438 \h</w:instrText>
            </w:r>
            <w:r>
              <w:rPr>
                <w:webHidden/>
              </w:rPr>
              <w:fldChar w:fldCharType="separate"/>
            </w:r>
            <w:r>
              <w:rPr>
                <w:rStyle w:val="Style46"/>
                <w:vanish w:val="false"/>
              </w:rPr>
              <w:tab/>
              <w:t>27</w:t>
            </w:r>
            <w:r>
              <w:rPr>
                <w:webHidden/>
              </w:rPr>
              <w:fldChar w:fldCharType="end"/>
            </w:r>
          </w:hyperlink>
        </w:p>
        <w:p>
          <w:pPr>
            <w:pStyle w:val="213"/>
            <w:tabs>
              <w:tab w:val="right" w:pos="9752" w:leader="dot"/>
            </w:tabs>
            <w:rPr>
              <w:rFonts w:eastAsia="" w:eastAsiaTheme="minorEastAsia"/>
              <w:lang w:eastAsia="ru-RU"/>
            </w:rPr>
          </w:pPr>
          <w:hyperlink w:anchor="_Toc485621439">
            <w:r>
              <w:rPr>
                <w:webHidden/>
                <w:rStyle w:val="Style46"/>
                <w:rFonts w:cs="Times New Roman" w:ascii="Times New Roman" w:hAnsi="Times New Roman"/>
                <w:b/>
                <w:i/>
                <w:vanish w:val="false"/>
                <w:color w:val="00000A"/>
              </w:rPr>
              <w:t>Статья 26. Случаи подготовки проекта планировки территории, проекта межевания территории</w:t>
            </w:r>
            <w:r>
              <w:rPr>
                <w:webHidden/>
              </w:rPr>
              <w:fldChar w:fldCharType="begin"/>
            </w:r>
            <w:r>
              <w:rPr>
                <w:webHidden/>
              </w:rPr>
              <w:instrText>PAGEREF _Toc485621439 \h</w:instrText>
            </w:r>
            <w:r>
              <w:rPr>
                <w:webHidden/>
              </w:rPr>
              <w:fldChar w:fldCharType="separate"/>
            </w:r>
            <w:r>
              <w:rPr>
                <w:rStyle w:val="Style46"/>
                <w:vanish w:val="false"/>
              </w:rPr>
              <w:tab/>
              <w:t>28</w:t>
            </w:r>
            <w:r>
              <w:rPr>
                <w:webHidden/>
              </w:rPr>
              <w:fldChar w:fldCharType="end"/>
            </w:r>
          </w:hyperlink>
        </w:p>
        <w:p>
          <w:pPr>
            <w:pStyle w:val="213"/>
            <w:tabs>
              <w:tab w:val="right" w:pos="9752" w:leader="dot"/>
            </w:tabs>
            <w:rPr>
              <w:rFonts w:eastAsia="" w:eastAsiaTheme="minorEastAsia"/>
              <w:lang w:eastAsia="ru-RU"/>
            </w:rPr>
          </w:pPr>
          <w:hyperlink w:anchor="_Toc485621440">
            <w:r>
              <w:rPr>
                <w:webHidden/>
                <w:rStyle w:val="Style46"/>
                <w:rFonts w:cs="Times New Roman" w:ascii="Times New Roman" w:hAnsi="Times New Roman"/>
                <w:b/>
                <w:i/>
                <w:vanish w:val="false"/>
                <w:color w:val="00000A"/>
              </w:rPr>
              <w:t>Статья 27. Градостроительные планы земельных участков</w:t>
            </w:r>
            <w:r>
              <w:rPr>
                <w:webHidden/>
              </w:rPr>
              <w:fldChar w:fldCharType="begin"/>
            </w:r>
            <w:r>
              <w:rPr>
                <w:webHidden/>
              </w:rPr>
              <w:instrText>PAGEREF _Toc485621440 \h</w:instrText>
            </w:r>
            <w:r>
              <w:rPr>
                <w:webHidden/>
              </w:rPr>
              <w:fldChar w:fldCharType="separate"/>
            </w:r>
            <w:r>
              <w:rPr>
                <w:rStyle w:val="Style46"/>
                <w:vanish w:val="false"/>
              </w:rPr>
              <w:tab/>
              <w:t>29</w:t>
            </w:r>
            <w:r>
              <w:rPr>
                <w:webHidden/>
              </w:rPr>
              <w:fldChar w:fldCharType="end"/>
            </w:r>
          </w:hyperlink>
        </w:p>
        <w:p>
          <w:pPr>
            <w:pStyle w:val="213"/>
            <w:tabs>
              <w:tab w:val="right" w:pos="9752" w:leader="dot"/>
            </w:tabs>
            <w:rPr>
              <w:rFonts w:eastAsia="" w:eastAsiaTheme="minorEastAsia"/>
              <w:lang w:eastAsia="ru-RU"/>
            </w:rPr>
          </w:pPr>
          <w:hyperlink w:anchor="_Toc485621441">
            <w:r>
              <w:rPr>
                <w:webHidden/>
                <w:rStyle w:val="Style46"/>
                <w:rFonts w:cs="Times New Roman" w:ascii="Times New Roman" w:hAnsi="Times New Roman"/>
                <w:b/>
                <w:i/>
                <w:vanish w:val="false"/>
                <w:color w:val="00000A"/>
              </w:rPr>
              <w:t>Статья 28. Порядок подготовки документации по планировке территории</w:t>
            </w:r>
            <w:r>
              <w:rPr>
                <w:webHidden/>
              </w:rPr>
              <w:fldChar w:fldCharType="begin"/>
            </w:r>
            <w:r>
              <w:rPr>
                <w:webHidden/>
              </w:rPr>
              <w:instrText>PAGEREF _Toc485621441 \h</w:instrText>
            </w:r>
            <w:r>
              <w:rPr>
                <w:webHidden/>
              </w:rPr>
              <w:fldChar w:fldCharType="separate"/>
            </w:r>
            <w:r>
              <w:rPr>
                <w:rStyle w:val="Style46"/>
                <w:vanish w:val="false"/>
              </w:rPr>
              <w:tab/>
              <w:t>29</w:t>
            </w:r>
            <w:r>
              <w:rPr>
                <w:webHidden/>
              </w:rPr>
              <w:fldChar w:fldCharType="end"/>
            </w:r>
          </w:hyperlink>
        </w:p>
        <w:p>
          <w:pPr>
            <w:pStyle w:val="15"/>
            <w:tabs>
              <w:tab w:val="right" w:pos="9752" w:leader="dot"/>
            </w:tabs>
            <w:rPr>
              <w:rFonts w:eastAsia="" w:eastAsiaTheme="minorEastAsia"/>
              <w:lang w:eastAsia="ru-RU"/>
            </w:rPr>
          </w:pPr>
          <w:hyperlink w:anchor="_Toc485621442">
            <w:r>
              <w:rPr>
                <w:webHidden/>
                <w:rStyle w:val="Style46"/>
                <w:rFonts w:cs="Times New Roman" w:ascii="Times New Roman" w:hAnsi="Times New Roman"/>
                <w:b/>
                <w:vanish w:val="false"/>
                <w:color w:val="00000A"/>
              </w:rPr>
              <w:t>ГЛАВА 5. ПРОВЕДЕНИЕ ПУБЛИЧНЫХ СЛУШАНИЙ ПО ВОПРОСАМ ЗЕМЛЕПОЛЬЗОВАНИЯ И ЗАСТРОЙКИ</w:t>
            </w:r>
            <w:r>
              <w:rPr>
                <w:webHidden/>
              </w:rPr>
              <w:fldChar w:fldCharType="begin"/>
            </w:r>
            <w:r>
              <w:rPr>
                <w:webHidden/>
              </w:rPr>
              <w:instrText>PAGEREF _Toc485621442 \h</w:instrText>
            </w:r>
            <w:r>
              <w:rPr>
                <w:webHidden/>
              </w:rPr>
              <w:fldChar w:fldCharType="separate"/>
            </w:r>
            <w:r>
              <w:rPr>
                <w:rStyle w:val="Style46"/>
                <w:vanish w:val="false"/>
              </w:rPr>
              <w:tab/>
              <w:t>31</w:t>
            </w:r>
            <w:r>
              <w:rPr>
                <w:webHidden/>
              </w:rPr>
              <w:fldChar w:fldCharType="end"/>
            </w:r>
          </w:hyperlink>
        </w:p>
        <w:p>
          <w:pPr>
            <w:pStyle w:val="213"/>
            <w:tabs>
              <w:tab w:val="right" w:pos="9752" w:leader="dot"/>
            </w:tabs>
            <w:rPr>
              <w:rFonts w:eastAsia="" w:eastAsiaTheme="minorEastAsia"/>
              <w:lang w:eastAsia="ru-RU"/>
            </w:rPr>
          </w:pPr>
          <w:hyperlink w:anchor="_Toc485621443">
            <w:r>
              <w:rPr>
                <w:webHidden/>
                <w:rStyle w:val="Style46"/>
                <w:rFonts w:cs="Times New Roman" w:ascii="Times New Roman" w:hAnsi="Times New Roman"/>
                <w:b/>
                <w:i/>
                <w:vanish w:val="false"/>
                <w:color w:val="00000A"/>
              </w:rPr>
              <w:t>Статья 29. Публичные слушания по проекту Правил землепользования и застройки или проекту внесения в них изменений</w:t>
            </w:r>
            <w:r>
              <w:rPr>
                <w:webHidden/>
              </w:rPr>
              <w:fldChar w:fldCharType="begin"/>
            </w:r>
            <w:r>
              <w:rPr>
                <w:webHidden/>
              </w:rPr>
              <w:instrText>PAGEREF _Toc485621443 \h</w:instrText>
            </w:r>
            <w:r>
              <w:rPr>
                <w:webHidden/>
              </w:rPr>
              <w:fldChar w:fldCharType="separate"/>
            </w:r>
            <w:r>
              <w:rPr>
                <w:rStyle w:val="Style46"/>
                <w:vanish w:val="false"/>
              </w:rPr>
              <w:tab/>
              <w:t>31</w:t>
            </w:r>
            <w:r>
              <w:rPr>
                <w:webHidden/>
              </w:rPr>
              <w:fldChar w:fldCharType="end"/>
            </w:r>
          </w:hyperlink>
        </w:p>
        <w:p>
          <w:pPr>
            <w:pStyle w:val="213"/>
            <w:tabs>
              <w:tab w:val="right" w:pos="9752" w:leader="dot"/>
            </w:tabs>
            <w:rPr>
              <w:rFonts w:eastAsia="" w:eastAsiaTheme="minorEastAsia"/>
              <w:lang w:eastAsia="ru-RU"/>
            </w:rPr>
          </w:pPr>
          <w:hyperlink w:anchor="_Toc485621444">
            <w:r>
              <w:rPr>
                <w:webHidden/>
                <w:rStyle w:val="Style46"/>
                <w:rFonts w:cs="Times New Roman" w:ascii="Times New Roman" w:hAnsi="Times New Roman"/>
                <w:b/>
                <w:i/>
                <w:vanish w:val="false"/>
                <w:color w:val="00000A"/>
              </w:rPr>
              <w:t>Статья 30. Публичные слушания по вопросу о предоставлении разрешения на условно разрешённый вид использования земельного участка или объекта капитального строительства</w:t>
            </w:r>
            <w:r>
              <w:rPr>
                <w:webHidden/>
              </w:rPr>
              <w:fldChar w:fldCharType="begin"/>
            </w:r>
            <w:r>
              <w:rPr>
                <w:webHidden/>
              </w:rPr>
              <w:instrText>PAGEREF _Toc485621444 \h</w:instrText>
            </w:r>
            <w:r>
              <w:rPr>
                <w:webHidden/>
              </w:rPr>
              <w:fldChar w:fldCharType="separate"/>
            </w:r>
            <w:r>
              <w:rPr>
                <w:rStyle w:val="Style46"/>
                <w:vanish w:val="false"/>
              </w:rPr>
              <w:tab/>
              <w:t>32</w:t>
            </w:r>
            <w:r>
              <w:rPr>
                <w:webHidden/>
              </w:rPr>
              <w:fldChar w:fldCharType="end"/>
            </w:r>
          </w:hyperlink>
        </w:p>
        <w:p>
          <w:pPr>
            <w:pStyle w:val="213"/>
            <w:tabs>
              <w:tab w:val="right" w:pos="9752" w:leader="dot"/>
            </w:tabs>
            <w:rPr>
              <w:rFonts w:eastAsia="" w:eastAsiaTheme="minorEastAsia"/>
              <w:lang w:eastAsia="ru-RU"/>
            </w:rPr>
          </w:pPr>
          <w:hyperlink w:anchor="_Toc485621445">
            <w:r>
              <w:rPr>
                <w:webHidden/>
                <w:rStyle w:val="Style46"/>
                <w:rFonts w:cs="Times New Roman" w:ascii="Times New Roman" w:hAnsi="Times New Roman"/>
                <w:b/>
                <w:i/>
                <w:vanish w:val="false"/>
                <w:color w:val="00000A"/>
              </w:rPr>
              <w:t>Статья 31. Публичные слушания по вопросу о предоставлении разрешения на отклонение от предельных параметров разрешённого строительства, реконструкции объектов капитального строительства</w:t>
            </w:r>
            <w:r>
              <w:rPr>
                <w:webHidden/>
              </w:rPr>
              <w:fldChar w:fldCharType="begin"/>
            </w:r>
            <w:r>
              <w:rPr>
                <w:webHidden/>
              </w:rPr>
              <w:instrText>PAGEREF _Toc485621445 \h</w:instrText>
            </w:r>
            <w:r>
              <w:rPr>
                <w:webHidden/>
              </w:rPr>
              <w:fldChar w:fldCharType="separate"/>
            </w:r>
            <w:r>
              <w:rPr>
                <w:rStyle w:val="Style46"/>
                <w:vanish w:val="false"/>
              </w:rPr>
              <w:tab/>
              <w:t>33</w:t>
            </w:r>
            <w:r>
              <w:rPr>
                <w:webHidden/>
              </w:rPr>
              <w:fldChar w:fldCharType="end"/>
            </w:r>
          </w:hyperlink>
        </w:p>
        <w:p>
          <w:pPr>
            <w:pStyle w:val="15"/>
            <w:tabs>
              <w:tab w:val="right" w:pos="9752" w:leader="dot"/>
            </w:tabs>
            <w:rPr>
              <w:rFonts w:eastAsia="" w:eastAsiaTheme="minorEastAsia"/>
              <w:lang w:eastAsia="ru-RU"/>
            </w:rPr>
          </w:pPr>
          <w:hyperlink w:anchor="_Toc485621446">
            <w:r>
              <w:rPr>
                <w:webHidden/>
                <w:rStyle w:val="Style46"/>
                <w:rFonts w:cs="Times New Roman" w:ascii="Times New Roman" w:hAnsi="Times New Roman"/>
                <w:b/>
                <w:vanish w:val="false"/>
                <w:color w:val="00000A"/>
              </w:rPr>
              <w:t>ГЛАВА 6. ВНЕСЕНИЕ ИЗМЕНЕНИЙ В ПРАВИЛА ЗЕМЛЕПОЛЬЗОВАНИЯ И ЗАСТРОЙКИ. ОТВЕТСТВЕННОСТЬ ЗА НАРУШЕНИЕ ПРАВИЛ ЗЕМЛЕПОЛЬЗОВАНИЯ И ЗАСТРОЙКИ</w:t>
            </w:r>
            <w:r>
              <w:rPr>
                <w:webHidden/>
              </w:rPr>
              <w:fldChar w:fldCharType="begin"/>
            </w:r>
            <w:r>
              <w:rPr>
                <w:webHidden/>
              </w:rPr>
              <w:instrText>PAGEREF _Toc485621446 \h</w:instrText>
            </w:r>
            <w:r>
              <w:rPr>
                <w:webHidden/>
              </w:rPr>
              <w:fldChar w:fldCharType="separate"/>
            </w:r>
            <w:r>
              <w:rPr>
                <w:rStyle w:val="Style46"/>
                <w:vanish w:val="false"/>
              </w:rPr>
              <w:tab/>
              <w:t>34</w:t>
            </w:r>
            <w:r>
              <w:rPr>
                <w:webHidden/>
              </w:rPr>
              <w:fldChar w:fldCharType="end"/>
            </w:r>
          </w:hyperlink>
        </w:p>
        <w:p>
          <w:pPr>
            <w:pStyle w:val="213"/>
            <w:tabs>
              <w:tab w:val="right" w:pos="9752" w:leader="dot"/>
            </w:tabs>
            <w:rPr>
              <w:rFonts w:eastAsia="" w:eastAsiaTheme="minorEastAsia"/>
              <w:lang w:eastAsia="ru-RU"/>
            </w:rPr>
          </w:pPr>
          <w:hyperlink w:anchor="_Toc485621447">
            <w:r>
              <w:rPr>
                <w:webHidden/>
                <w:rStyle w:val="Style46"/>
                <w:rFonts w:cs="Times New Roman" w:ascii="Times New Roman" w:hAnsi="Times New Roman"/>
                <w:b/>
                <w:i/>
                <w:vanish w:val="false"/>
                <w:color w:val="00000A"/>
              </w:rPr>
              <w:t>Статья 32. Порядок внесения изменений в правила землепользования и застройки</w:t>
            </w:r>
            <w:r>
              <w:rPr>
                <w:webHidden/>
              </w:rPr>
              <w:fldChar w:fldCharType="begin"/>
            </w:r>
            <w:r>
              <w:rPr>
                <w:webHidden/>
              </w:rPr>
              <w:instrText>PAGEREF _Toc485621447 \h</w:instrText>
            </w:r>
            <w:r>
              <w:rPr>
                <w:webHidden/>
              </w:rPr>
              <w:fldChar w:fldCharType="separate"/>
            </w:r>
            <w:r>
              <w:rPr>
                <w:rStyle w:val="Style46"/>
                <w:vanish w:val="false"/>
              </w:rPr>
              <w:tab/>
              <w:t>34</w:t>
            </w:r>
            <w:r>
              <w:rPr>
                <w:webHidden/>
              </w:rPr>
              <w:fldChar w:fldCharType="end"/>
            </w:r>
          </w:hyperlink>
        </w:p>
        <w:p>
          <w:pPr>
            <w:pStyle w:val="213"/>
            <w:tabs>
              <w:tab w:val="right" w:pos="9752" w:leader="dot"/>
            </w:tabs>
            <w:rPr>
              <w:rFonts w:eastAsia="" w:eastAsiaTheme="minorEastAsia"/>
              <w:lang w:eastAsia="ru-RU"/>
            </w:rPr>
          </w:pPr>
          <w:hyperlink w:anchor="_Toc485621448">
            <w:r>
              <w:rPr>
                <w:webHidden/>
                <w:rStyle w:val="Style46"/>
                <w:rFonts w:cs="Times New Roman" w:ascii="Times New Roman" w:hAnsi="Times New Roman"/>
                <w:b/>
                <w:i/>
                <w:vanish w:val="false"/>
                <w:color w:val="00000A"/>
              </w:rPr>
              <w:t>Статья 33. Ответственность за нарушение правил землепользования и застройки</w:t>
            </w:r>
            <w:r>
              <w:rPr>
                <w:webHidden/>
              </w:rPr>
              <w:fldChar w:fldCharType="begin"/>
            </w:r>
            <w:r>
              <w:rPr>
                <w:webHidden/>
              </w:rPr>
              <w:instrText>PAGEREF _Toc485621448 \h</w:instrText>
            </w:r>
            <w:r>
              <w:rPr>
                <w:webHidden/>
              </w:rPr>
              <w:fldChar w:fldCharType="separate"/>
            </w:r>
            <w:r>
              <w:rPr>
                <w:rStyle w:val="Style46"/>
                <w:vanish w:val="false"/>
              </w:rPr>
              <w:tab/>
              <w:t>35</w:t>
            </w:r>
            <w:r>
              <w:rPr>
                <w:webHidden/>
              </w:rPr>
              <w:fldChar w:fldCharType="end"/>
            </w:r>
          </w:hyperlink>
        </w:p>
        <w:p>
          <w:pPr>
            <w:pStyle w:val="15"/>
            <w:tabs>
              <w:tab w:val="right" w:pos="9752" w:leader="dot"/>
            </w:tabs>
            <w:rPr>
              <w:rFonts w:eastAsia="" w:eastAsiaTheme="minorEastAsia"/>
              <w:lang w:eastAsia="ru-RU"/>
            </w:rPr>
          </w:pPr>
          <w:hyperlink w:anchor="_Toc485621449">
            <w:r>
              <w:rPr>
                <w:webHidden/>
                <w:rStyle w:val="Style46"/>
                <w:rFonts w:cs="Times New Roman" w:ascii="Times New Roman" w:hAnsi="Times New Roman"/>
                <w:b/>
                <w:vanish w:val="false"/>
                <w:color w:val="00000A"/>
              </w:rPr>
              <w:t>ГЛАВА 7. РЕГУЛИРОВАНИЕ ИНЫХ ВОПРОСОВ ЗЕМЛЕПОЛЬЗОВАНИЯ И ЗАСТРОЙКИ</w:t>
            </w:r>
            <w:r>
              <w:rPr>
                <w:webHidden/>
              </w:rPr>
              <w:fldChar w:fldCharType="begin"/>
            </w:r>
            <w:r>
              <w:rPr>
                <w:webHidden/>
              </w:rPr>
              <w:instrText>PAGEREF _Toc485621449 \h</w:instrText>
            </w:r>
            <w:r>
              <w:rPr>
                <w:webHidden/>
              </w:rPr>
              <w:fldChar w:fldCharType="separate"/>
            </w:r>
            <w:r>
              <w:rPr>
                <w:rStyle w:val="Style46"/>
                <w:vanish w:val="false"/>
              </w:rPr>
              <w:tab/>
              <w:t>35</w:t>
            </w:r>
            <w:r>
              <w:rPr>
                <w:webHidden/>
              </w:rPr>
              <w:fldChar w:fldCharType="end"/>
            </w:r>
          </w:hyperlink>
        </w:p>
        <w:p>
          <w:pPr>
            <w:pStyle w:val="213"/>
            <w:tabs>
              <w:tab w:val="right" w:pos="9752" w:leader="dot"/>
            </w:tabs>
            <w:rPr>
              <w:rFonts w:eastAsia="" w:eastAsiaTheme="minorEastAsia"/>
              <w:lang w:eastAsia="ru-RU"/>
            </w:rPr>
          </w:pPr>
          <w:hyperlink w:anchor="_Toc485621450">
            <w:r>
              <w:rPr>
                <w:webHidden/>
                <w:rStyle w:val="Style46"/>
                <w:rFonts w:cs="Times New Roman" w:ascii="Times New Roman" w:hAnsi="Times New Roman"/>
                <w:b/>
                <w:i/>
                <w:vanish w:val="false"/>
                <w:color w:val="00000A"/>
              </w:rPr>
              <w:t>Статья 34. Основания для установления сервитута в отношении земельного участка, находящегося в государственной или муниципальной собственности</w:t>
            </w:r>
            <w:r>
              <w:rPr>
                <w:webHidden/>
              </w:rPr>
              <w:fldChar w:fldCharType="begin"/>
            </w:r>
            <w:r>
              <w:rPr>
                <w:webHidden/>
              </w:rPr>
              <w:instrText>PAGEREF _Toc485621450 \h</w:instrText>
            </w:r>
            <w:r>
              <w:rPr>
                <w:webHidden/>
              </w:rPr>
              <w:fldChar w:fldCharType="separate"/>
            </w:r>
            <w:r>
              <w:rPr>
                <w:rStyle w:val="Style46"/>
                <w:vanish w:val="false"/>
              </w:rPr>
              <w:tab/>
              <w:t>35</w:t>
            </w:r>
            <w:r>
              <w:rPr>
                <w:webHidden/>
              </w:rPr>
              <w:fldChar w:fldCharType="end"/>
            </w:r>
          </w:hyperlink>
        </w:p>
        <w:p>
          <w:pPr>
            <w:pStyle w:val="213"/>
            <w:tabs>
              <w:tab w:val="right" w:pos="9752" w:leader="dot"/>
            </w:tabs>
            <w:rPr>
              <w:rFonts w:eastAsia="" w:eastAsiaTheme="minorEastAsia"/>
              <w:lang w:eastAsia="ru-RU"/>
            </w:rPr>
          </w:pPr>
          <w:hyperlink w:anchor="_Toc485621451">
            <w:r>
              <w:rPr>
                <w:webHidden/>
                <w:rStyle w:val="Style46"/>
                <w:rFonts w:cs="Times New Roman" w:ascii="Times New Roman" w:hAnsi="Times New Roman"/>
                <w:b/>
                <w:i/>
                <w:vanish w:val="false"/>
                <w:color w:val="00000A"/>
              </w:rPr>
              <w:t>Статья 35. Установление публичных сервитутов</w:t>
            </w:r>
            <w:r>
              <w:rPr>
                <w:webHidden/>
              </w:rPr>
              <w:fldChar w:fldCharType="begin"/>
            </w:r>
            <w:r>
              <w:rPr>
                <w:webHidden/>
              </w:rPr>
              <w:instrText>PAGEREF _Toc485621451 \h</w:instrText>
            </w:r>
            <w:r>
              <w:rPr>
                <w:webHidden/>
              </w:rPr>
              <w:fldChar w:fldCharType="separate"/>
            </w:r>
            <w:r>
              <w:rPr>
                <w:rStyle w:val="Style46"/>
                <w:vanish w:val="false"/>
              </w:rPr>
              <w:tab/>
              <w:t>36</w:t>
            </w:r>
            <w:r>
              <w:rPr>
                <w:webHidden/>
              </w:rPr>
              <w:fldChar w:fldCharType="end"/>
            </w:r>
          </w:hyperlink>
        </w:p>
        <w:p>
          <w:pPr>
            <w:pStyle w:val="213"/>
            <w:tabs>
              <w:tab w:val="right" w:pos="9752" w:leader="dot"/>
            </w:tabs>
            <w:rPr>
              <w:rFonts w:eastAsia="" w:eastAsiaTheme="minorEastAsia"/>
              <w:lang w:eastAsia="ru-RU"/>
            </w:rPr>
          </w:pPr>
          <w:hyperlink w:anchor="_Toc485621452">
            <w:r>
              <w:rPr>
                <w:webHidden/>
                <w:rStyle w:val="Style46"/>
                <w:rFonts w:cs="Times New Roman" w:ascii="Times New Roman" w:hAnsi="Times New Roman"/>
                <w:b/>
                <w:i/>
                <w:vanish w:val="false"/>
                <w:color w:val="00000A"/>
              </w:rPr>
              <w:t>Статья 36. Основания прекращения сервитута</w:t>
            </w:r>
            <w:r>
              <w:rPr>
                <w:webHidden/>
              </w:rPr>
              <w:fldChar w:fldCharType="begin"/>
            </w:r>
            <w:r>
              <w:rPr>
                <w:webHidden/>
              </w:rPr>
              <w:instrText>PAGEREF _Toc485621452 \h</w:instrText>
            </w:r>
            <w:r>
              <w:rPr>
                <w:webHidden/>
              </w:rPr>
              <w:fldChar w:fldCharType="separate"/>
            </w:r>
            <w:r>
              <w:rPr>
                <w:rStyle w:val="Style46"/>
                <w:vanish w:val="false"/>
              </w:rPr>
              <w:tab/>
              <w:t>36</w:t>
            </w:r>
            <w:r>
              <w:rPr>
                <w:webHidden/>
              </w:rPr>
              <w:fldChar w:fldCharType="end"/>
            </w:r>
          </w:hyperlink>
        </w:p>
        <w:p>
          <w:pPr>
            <w:pStyle w:val="213"/>
            <w:tabs>
              <w:tab w:val="right" w:pos="9752" w:leader="dot"/>
            </w:tabs>
            <w:rPr>
              <w:rFonts w:eastAsia="" w:eastAsiaTheme="minorEastAsia"/>
              <w:lang w:eastAsia="ru-RU"/>
            </w:rPr>
          </w:pPr>
          <w:hyperlink w:anchor="_Toc485621453">
            <w:r>
              <w:rPr>
                <w:webHidden/>
                <w:rStyle w:val="Style46"/>
                <w:rFonts w:cs="Times New Roman" w:ascii="Times New Roman" w:hAnsi="Times New Roman"/>
                <w:b/>
                <w:i/>
                <w:vanish w:val="false"/>
                <w:color w:val="00000A"/>
              </w:rPr>
              <w:t>Статья 37. Условия, при которых земельный участок не может быть предметом аукциона</w:t>
            </w:r>
            <w:r>
              <w:rPr>
                <w:webHidden/>
              </w:rPr>
              <w:fldChar w:fldCharType="begin"/>
            </w:r>
            <w:r>
              <w:rPr>
                <w:webHidden/>
              </w:rPr>
              <w:instrText>PAGEREF _Toc485621453 \h</w:instrText>
            </w:r>
            <w:r>
              <w:rPr>
                <w:webHidden/>
              </w:rPr>
              <w:fldChar w:fldCharType="separate"/>
            </w:r>
            <w:r>
              <w:rPr>
                <w:rStyle w:val="Style46"/>
                <w:vanish w:val="false"/>
              </w:rPr>
              <w:tab/>
              <w:t>36</w:t>
            </w:r>
            <w:r>
              <w:rPr>
                <w:webHidden/>
              </w:rPr>
              <w:fldChar w:fldCharType="end"/>
            </w:r>
          </w:hyperlink>
        </w:p>
        <w:p>
          <w:pPr>
            <w:pStyle w:val="213"/>
            <w:tabs>
              <w:tab w:val="right" w:pos="9752" w:leader="dot"/>
            </w:tabs>
            <w:rPr>
              <w:rFonts w:eastAsia="" w:eastAsiaTheme="minorEastAsia"/>
              <w:lang w:eastAsia="ru-RU"/>
            </w:rPr>
          </w:pPr>
          <w:hyperlink w:anchor="_Toc485621454">
            <w:r>
              <w:rPr>
                <w:webHidden/>
                <w:rStyle w:val="Style46"/>
                <w:rFonts w:cs="Times New Roman" w:ascii="Times New Roman" w:hAnsi="Times New Roman"/>
                <w:b/>
                <w:i/>
                <w:vanish w:val="false"/>
                <w:color w:val="00000A"/>
              </w:rPr>
              <w:t>Статья 38. Территории общего пользования. Земельные участки в границах территорий общего пользования</w:t>
            </w:r>
            <w:r>
              <w:rPr>
                <w:webHidden/>
              </w:rPr>
              <w:fldChar w:fldCharType="begin"/>
            </w:r>
            <w:r>
              <w:rPr>
                <w:webHidden/>
              </w:rPr>
              <w:instrText>PAGEREF _Toc485621454 \h</w:instrText>
            </w:r>
            <w:r>
              <w:rPr>
                <w:webHidden/>
              </w:rPr>
              <w:fldChar w:fldCharType="separate"/>
            </w:r>
            <w:r>
              <w:rPr>
                <w:rStyle w:val="Style46"/>
                <w:vanish w:val="false"/>
              </w:rPr>
              <w:tab/>
              <w:t>38</w:t>
            </w:r>
            <w:r>
              <w:rPr>
                <w:webHidden/>
              </w:rPr>
              <w:fldChar w:fldCharType="end"/>
            </w:r>
          </w:hyperlink>
        </w:p>
        <w:p>
          <w:pPr>
            <w:pStyle w:val="213"/>
            <w:tabs>
              <w:tab w:val="right" w:pos="9752" w:leader="dot"/>
            </w:tabs>
            <w:rPr>
              <w:rFonts w:eastAsia="" w:eastAsiaTheme="minorEastAsia"/>
              <w:lang w:eastAsia="ru-RU"/>
            </w:rPr>
          </w:pPr>
          <w:hyperlink w:anchor="_Toc485621455">
            <w:r>
              <w:rPr>
                <w:webHidden/>
                <w:rStyle w:val="Style46"/>
                <w:rFonts w:cs="Times New Roman" w:ascii="Times New Roman" w:hAnsi="Times New Roman"/>
                <w:b/>
                <w:i/>
                <w:vanish w:val="false"/>
                <w:color w:val="00000A"/>
              </w:rPr>
              <w:t>Статья 39. Контроль за использованием объектов недвижимости</w:t>
            </w:r>
            <w:r>
              <w:rPr>
                <w:webHidden/>
              </w:rPr>
              <w:fldChar w:fldCharType="begin"/>
            </w:r>
            <w:r>
              <w:rPr>
                <w:webHidden/>
              </w:rPr>
              <w:instrText>PAGEREF _Toc485621455 \h</w:instrText>
            </w:r>
            <w:r>
              <w:rPr>
                <w:webHidden/>
              </w:rPr>
              <w:fldChar w:fldCharType="separate"/>
            </w:r>
            <w:r>
              <w:rPr>
                <w:rStyle w:val="Style46"/>
                <w:vanish w:val="false"/>
              </w:rPr>
              <w:tab/>
              <w:t>38</w:t>
            </w:r>
            <w:r>
              <w:rPr>
                <w:webHidden/>
              </w:rPr>
              <w:fldChar w:fldCharType="end"/>
            </w:r>
          </w:hyperlink>
        </w:p>
        <w:p>
          <w:pPr>
            <w:pStyle w:val="213"/>
            <w:tabs>
              <w:tab w:val="right" w:pos="9752" w:leader="dot"/>
            </w:tabs>
            <w:rPr>
              <w:rFonts w:eastAsia="" w:eastAsiaTheme="minorEastAsia"/>
              <w:lang w:eastAsia="ru-RU"/>
            </w:rPr>
          </w:pPr>
          <w:hyperlink w:anchor="_Toc485621456">
            <w:r>
              <w:rPr>
                <w:webHidden/>
                <w:rStyle w:val="Style46"/>
                <w:rFonts w:eastAsia="Times New Roman" w:cs="Times New Roman" w:ascii="Times New Roman" w:hAnsi="Times New Roman"/>
                <w:b/>
                <w:bCs/>
                <w:i/>
                <w:vanish w:val="false"/>
                <w:color w:val="00000A"/>
                <w:lang w:bidi="ru-RU"/>
              </w:rPr>
              <w:t xml:space="preserve">Статья 40. </w:t>
            </w:r>
            <w:r>
              <w:rPr>
                <w:rStyle w:val="Style46"/>
                <w:rFonts w:eastAsia="Calibri" w:cs="Times New Roman" w:ascii="Times New Roman" w:hAnsi="Times New Roman"/>
                <w:b/>
                <w:bCs/>
                <w:i/>
                <w:color w:val="00000A"/>
                <w:lang w:eastAsia="ar-SA" w:bidi="ru-RU"/>
              </w:rPr>
              <w:t>Размещение рекламных конструкций</w:t>
            </w:r>
            <w:r>
              <w:rPr>
                <w:webHidden/>
              </w:rPr>
              <w:fldChar w:fldCharType="begin"/>
            </w:r>
            <w:r>
              <w:rPr>
                <w:webHidden/>
              </w:rPr>
              <w:instrText>PAGEREF _Toc485621456 \h</w:instrText>
            </w:r>
            <w:r>
              <w:rPr>
                <w:webHidden/>
              </w:rPr>
              <w:fldChar w:fldCharType="separate"/>
            </w:r>
            <w:r>
              <w:rPr>
                <w:rStyle w:val="Style46"/>
                <w:vanish w:val="false"/>
              </w:rPr>
              <w:tab/>
              <w:t>38</w:t>
            </w:r>
            <w:r>
              <w:rPr>
                <w:webHidden/>
              </w:rPr>
              <w:fldChar w:fldCharType="end"/>
            </w:r>
          </w:hyperlink>
        </w:p>
        <w:p>
          <w:pPr>
            <w:pStyle w:val="15"/>
            <w:tabs>
              <w:tab w:val="right" w:pos="9752" w:leader="dot"/>
            </w:tabs>
            <w:rPr>
              <w:rFonts w:eastAsia="" w:eastAsiaTheme="minorEastAsia"/>
              <w:lang w:eastAsia="ru-RU"/>
            </w:rPr>
          </w:pPr>
          <w:hyperlink w:anchor="_Toc485621457">
            <w:r>
              <w:rPr>
                <w:webHidden/>
                <w:rStyle w:val="Style46"/>
                <w:rFonts w:cs="Times New Roman" w:ascii="Times New Roman" w:hAnsi="Times New Roman"/>
                <w:b/>
                <w:vanish w:val="false"/>
                <w:color w:val="00000A"/>
              </w:rPr>
              <w:t>РАЗДЕЛ II. КАРТА ГРАДОСТРОИТЕЛЬНОГО ЗОНИРОВАНИЯ</w:t>
            </w:r>
            <w:r>
              <w:rPr>
                <w:webHidden/>
              </w:rPr>
              <w:fldChar w:fldCharType="begin"/>
            </w:r>
            <w:r>
              <w:rPr>
                <w:webHidden/>
              </w:rPr>
              <w:instrText>PAGEREF _Toc485621457 \h</w:instrText>
            </w:r>
            <w:r>
              <w:rPr>
                <w:webHidden/>
              </w:rPr>
              <w:fldChar w:fldCharType="separate"/>
            </w:r>
            <w:r>
              <w:rPr>
                <w:rStyle w:val="Style46"/>
                <w:vanish w:val="false"/>
              </w:rPr>
              <w:tab/>
              <w:t>39</w:t>
            </w:r>
            <w:r>
              <w:rPr>
                <w:webHidden/>
              </w:rPr>
              <w:fldChar w:fldCharType="end"/>
            </w:r>
          </w:hyperlink>
        </w:p>
        <w:p>
          <w:pPr>
            <w:pStyle w:val="15"/>
            <w:tabs>
              <w:tab w:val="right" w:pos="9752" w:leader="dot"/>
            </w:tabs>
            <w:rPr>
              <w:rFonts w:eastAsia="" w:eastAsiaTheme="minorEastAsia"/>
              <w:lang w:eastAsia="ru-RU"/>
            </w:rPr>
          </w:pPr>
          <w:hyperlink w:anchor="_Toc485621458">
            <w:r>
              <w:rPr>
                <w:webHidden/>
                <w:rStyle w:val="Style46"/>
                <w:rFonts w:cs="Times New Roman" w:ascii="Times New Roman" w:hAnsi="Times New Roman"/>
                <w:b/>
                <w:vanish w:val="false"/>
                <w:color w:val="00000A"/>
              </w:rPr>
              <w:t>ГЛАВА 8. КАРТА ГРАДОСТРОИТЕЛЬНОГО ЗОНИРОВАНИЯ, КАРТА ЗОН С ОСОБЫМИ УСЛОВИЯМИ ИСПОЛЬЗОВАНИЯ ТЕРРИТОРИЙ</w:t>
            </w:r>
            <w:r>
              <w:rPr>
                <w:webHidden/>
              </w:rPr>
              <w:fldChar w:fldCharType="begin"/>
            </w:r>
            <w:r>
              <w:rPr>
                <w:webHidden/>
              </w:rPr>
              <w:instrText>PAGEREF _Toc485621458 \h</w:instrText>
            </w:r>
            <w:r>
              <w:rPr>
                <w:webHidden/>
              </w:rPr>
              <w:fldChar w:fldCharType="separate"/>
            </w:r>
            <w:r>
              <w:rPr>
                <w:rStyle w:val="Style46"/>
                <w:vanish w:val="false"/>
              </w:rPr>
              <w:tab/>
              <w:t>39</w:t>
            </w:r>
            <w:r>
              <w:rPr>
                <w:webHidden/>
              </w:rPr>
              <w:fldChar w:fldCharType="end"/>
            </w:r>
          </w:hyperlink>
        </w:p>
        <w:p>
          <w:pPr>
            <w:pStyle w:val="213"/>
            <w:tabs>
              <w:tab w:val="right" w:pos="9752" w:leader="dot"/>
            </w:tabs>
            <w:rPr>
              <w:rFonts w:eastAsia="" w:eastAsiaTheme="minorEastAsia"/>
              <w:lang w:eastAsia="ru-RU"/>
            </w:rPr>
          </w:pPr>
          <w:hyperlink w:anchor="_Toc485621459">
            <w:r>
              <w:rPr>
                <w:webHidden/>
                <w:rStyle w:val="Style46"/>
                <w:rFonts w:cs="Times New Roman" w:ascii="Times New Roman" w:hAnsi="Times New Roman"/>
                <w:b/>
                <w:i/>
                <w:vanish w:val="false"/>
                <w:color w:val="00000A"/>
              </w:rPr>
              <w:t>Статья 41. Состав и содержание карты градостроительного зонирования</w:t>
            </w:r>
            <w:r>
              <w:rPr>
                <w:webHidden/>
              </w:rPr>
              <w:fldChar w:fldCharType="begin"/>
            </w:r>
            <w:r>
              <w:rPr>
                <w:webHidden/>
              </w:rPr>
              <w:instrText>PAGEREF _Toc485621459 \h</w:instrText>
            </w:r>
            <w:r>
              <w:rPr>
                <w:webHidden/>
              </w:rPr>
              <w:fldChar w:fldCharType="separate"/>
            </w:r>
            <w:r>
              <w:rPr>
                <w:rStyle w:val="Style46"/>
                <w:vanish w:val="false"/>
              </w:rPr>
              <w:tab/>
              <w:t>39</w:t>
            </w:r>
            <w:r>
              <w:rPr>
                <w:webHidden/>
              </w:rPr>
              <w:fldChar w:fldCharType="end"/>
            </w:r>
          </w:hyperlink>
        </w:p>
        <w:p>
          <w:pPr>
            <w:pStyle w:val="213"/>
            <w:tabs>
              <w:tab w:val="right" w:pos="9752" w:leader="dot"/>
            </w:tabs>
            <w:rPr>
              <w:rFonts w:eastAsia="" w:eastAsiaTheme="minorEastAsia"/>
              <w:lang w:eastAsia="ru-RU"/>
            </w:rPr>
          </w:pPr>
          <w:hyperlink w:anchor="_Toc485621460">
            <w:r>
              <w:rPr>
                <w:webHidden/>
                <w:rStyle w:val="Style46"/>
                <w:rFonts w:cs="Times New Roman" w:ascii="Times New Roman" w:hAnsi="Times New Roman"/>
                <w:b/>
                <w:i/>
                <w:vanish w:val="false"/>
                <w:color w:val="00000A"/>
              </w:rPr>
              <w:t>Статья 42. Состав и содержание карты зон с особыми условиями использования территорий</w:t>
            </w:r>
            <w:r>
              <w:rPr>
                <w:webHidden/>
              </w:rPr>
              <w:fldChar w:fldCharType="begin"/>
            </w:r>
            <w:r>
              <w:rPr>
                <w:webHidden/>
              </w:rPr>
              <w:instrText>PAGEREF _Toc485621460 \h</w:instrText>
            </w:r>
            <w:r>
              <w:rPr>
                <w:webHidden/>
              </w:rPr>
              <w:fldChar w:fldCharType="separate"/>
            </w:r>
            <w:r>
              <w:rPr>
                <w:rStyle w:val="Style46"/>
                <w:vanish w:val="false"/>
              </w:rPr>
              <w:tab/>
              <w:t>39</w:t>
            </w:r>
            <w:r>
              <w:rPr>
                <w:webHidden/>
              </w:rPr>
              <w:fldChar w:fldCharType="end"/>
            </w:r>
          </w:hyperlink>
        </w:p>
        <w:p>
          <w:pPr>
            <w:pStyle w:val="213"/>
            <w:tabs>
              <w:tab w:val="right" w:pos="9752" w:leader="dot"/>
            </w:tabs>
            <w:rPr>
              <w:rFonts w:eastAsia="" w:eastAsiaTheme="minorEastAsia"/>
              <w:lang w:eastAsia="ru-RU"/>
            </w:rPr>
          </w:pPr>
          <w:hyperlink w:anchor="_Toc485621461">
            <w:r>
              <w:rPr>
                <w:webHidden/>
                <w:rStyle w:val="Style46"/>
                <w:rFonts w:cs="Times New Roman" w:ascii="Times New Roman" w:hAnsi="Times New Roman"/>
                <w:b/>
                <w:i/>
                <w:vanish w:val="false"/>
                <w:color w:val="00000A"/>
              </w:rPr>
              <w:t>Статья 43. Порядок ведения карты градостроительного зонирования, карты зон с особыми условиями использования территорий</w:t>
            </w:r>
            <w:r>
              <w:rPr>
                <w:webHidden/>
              </w:rPr>
              <w:fldChar w:fldCharType="begin"/>
            </w:r>
            <w:r>
              <w:rPr>
                <w:webHidden/>
              </w:rPr>
              <w:instrText>PAGEREF _Toc485621461 \h</w:instrText>
            </w:r>
            <w:r>
              <w:rPr>
                <w:webHidden/>
              </w:rPr>
              <w:fldChar w:fldCharType="separate"/>
            </w:r>
            <w:r>
              <w:rPr>
                <w:rStyle w:val="Style46"/>
                <w:vanish w:val="false"/>
              </w:rPr>
              <w:tab/>
              <w:t>40</w:t>
            </w:r>
            <w:r>
              <w:rPr>
                <w:webHidden/>
              </w:rPr>
              <w:fldChar w:fldCharType="end"/>
            </w:r>
          </w:hyperlink>
        </w:p>
        <w:p>
          <w:pPr>
            <w:pStyle w:val="213"/>
            <w:tabs>
              <w:tab w:val="right" w:pos="9752" w:leader="dot"/>
            </w:tabs>
            <w:rPr>
              <w:rFonts w:eastAsia="" w:eastAsiaTheme="minorEastAsia"/>
              <w:lang w:eastAsia="ru-RU"/>
            </w:rPr>
          </w:pPr>
          <w:hyperlink w:anchor="_Toc485621462">
            <w:r>
              <w:rPr>
                <w:webHidden/>
                <w:rStyle w:val="Style46"/>
                <w:rFonts w:cs="Times New Roman" w:ascii="Times New Roman" w:hAnsi="Times New Roman"/>
                <w:b/>
                <w:i/>
                <w:vanish w:val="false"/>
                <w:color w:val="00000A"/>
              </w:rPr>
              <w:t>Статья 44. Виды территориальных зон, определённых на карте градостроительного зонирования, карте зон с особыми условиями использования территорий</w:t>
            </w:r>
            <w:r>
              <w:rPr>
                <w:webHidden/>
              </w:rPr>
              <w:fldChar w:fldCharType="begin"/>
            </w:r>
            <w:r>
              <w:rPr>
                <w:webHidden/>
              </w:rPr>
              <w:instrText>PAGEREF _Toc485621462 \h</w:instrText>
            </w:r>
            <w:r>
              <w:rPr>
                <w:webHidden/>
              </w:rPr>
              <w:fldChar w:fldCharType="separate"/>
            </w:r>
            <w:r>
              <w:rPr>
                <w:rStyle w:val="Style46"/>
                <w:vanish w:val="false"/>
              </w:rPr>
              <w:tab/>
              <w:t>40</w:t>
            </w:r>
            <w:r>
              <w:rPr>
                <w:webHidden/>
              </w:rPr>
              <w:fldChar w:fldCharType="end"/>
            </w:r>
          </w:hyperlink>
        </w:p>
        <w:p>
          <w:pPr>
            <w:pStyle w:val="15"/>
            <w:tabs>
              <w:tab w:val="right" w:pos="9752" w:leader="dot"/>
            </w:tabs>
            <w:rPr>
              <w:rFonts w:eastAsia="" w:eastAsiaTheme="minorEastAsia"/>
              <w:lang w:eastAsia="ru-RU"/>
            </w:rPr>
          </w:pPr>
          <w:hyperlink w:anchor="_Toc485621463">
            <w:r>
              <w:rPr>
                <w:webHidden/>
                <w:rStyle w:val="Style46"/>
                <w:rFonts w:cs="Times New Roman" w:ascii="Times New Roman" w:hAnsi="Times New Roman"/>
                <w:b/>
                <w:vanish w:val="false"/>
                <w:color w:val="00000A"/>
              </w:rPr>
              <w:t>РАЗДЕЛ III. ГРАДОСТРОИТЕЛЬНЫЕ РЕГЛАМЕНТЫ</w:t>
            </w:r>
            <w:r>
              <w:rPr>
                <w:webHidden/>
              </w:rPr>
              <w:fldChar w:fldCharType="begin"/>
            </w:r>
            <w:r>
              <w:rPr>
                <w:webHidden/>
              </w:rPr>
              <w:instrText>PAGEREF _Toc485621463 \h</w:instrText>
            </w:r>
            <w:r>
              <w:rPr>
                <w:webHidden/>
              </w:rPr>
              <w:fldChar w:fldCharType="separate"/>
            </w:r>
            <w:r>
              <w:rPr>
                <w:rStyle w:val="Style46"/>
                <w:vanish w:val="false"/>
              </w:rPr>
              <w:tab/>
              <w:t>41</w:t>
            </w:r>
            <w:r>
              <w:rPr>
                <w:webHidden/>
              </w:rPr>
              <w:fldChar w:fldCharType="end"/>
            </w:r>
          </w:hyperlink>
        </w:p>
        <w:p>
          <w:pPr>
            <w:pStyle w:val="15"/>
            <w:tabs>
              <w:tab w:val="right" w:pos="9752" w:leader="dot"/>
            </w:tabs>
            <w:rPr>
              <w:rFonts w:eastAsia="" w:eastAsiaTheme="minorEastAsia"/>
              <w:lang w:eastAsia="ru-RU"/>
            </w:rPr>
          </w:pPr>
          <w:hyperlink w:anchor="_Toc485621464">
            <w:r>
              <w:rPr>
                <w:webHidden/>
                <w:rStyle w:val="Style46"/>
                <w:rFonts w:cs="Times New Roman" w:ascii="Times New Roman" w:hAnsi="Times New Roman"/>
                <w:b/>
                <w:vanish w:val="false"/>
                <w:color w:val="00000A"/>
              </w:rPr>
              <w:t>ГЛАВА 9. ГРАДОСТРОИТЕЛЬНОЕ ЗОНИРОВАНИЕ С УЧЁТОМ ОСОБЫХ УСЛОВИЙ ИСПОЛЬЗОВАНИЯ ТЕРРИТОРИЙ (ОГРАНИЧЕНИЙ ИСПОЛЬЗОВАНИЯ ЗЕМЕЛЬНЫХ УЧАСТКОВ И ОБЪЕКТОВ КАПИТАЛЬНОГО СТРОИТЕЛЬСТВА, УСТАНАВЛИВАЕМЫХ В СООТВЕТСТВИИ С ЗАКОНОДАТЕЛЬСТВОМ РОССИЙСКОЙ ФЕДЕРАЦИИ)</w:t>
            </w:r>
            <w:r>
              <w:rPr>
                <w:webHidden/>
              </w:rPr>
              <w:fldChar w:fldCharType="begin"/>
            </w:r>
            <w:r>
              <w:rPr>
                <w:webHidden/>
              </w:rPr>
              <w:instrText>PAGEREF _Toc485621464 \h</w:instrText>
            </w:r>
            <w:r>
              <w:rPr>
                <w:webHidden/>
              </w:rPr>
              <w:fldChar w:fldCharType="separate"/>
            </w:r>
            <w:r>
              <w:rPr>
                <w:rStyle w:val="Style46"/>
                <w:vanish w:val="false"/>
              </w:rPr>
              <w:tab/>
              <w:t>41</w:t>
            </w:r>
            <w:r>
              <w:rPr>
                <w:webHidden/>
              </w:rPr>
              <w:fldChar w:fldCharType="end"/>
            </w:r>
          </w:hyperlink>
        </w:p>
        <w:p>
          <w:pPr>
            <w:pStyle w:val="213"/>
            <w:tabs>
              <w:tab w:val="right" w:pos="9752" w:leader="dot"/>
            </w:tabs>
            <w:rPr>
              <w:rFonts w:eastAsia="" w:eastAsiaTheme="minorEastAsia"/>
              <w:lang w:eastAsia="ru-RU"/>
            </w:rPr>
          </w:pPr>
          <w:hyperlink w:anchor="_Toc485621465">
            <w:r>
              <w:rPr>
                <w:webHidden/>
                <w:rStyle w:val="Style46"/>
                <w:rFonts w:cs="Times New Roman" w:ascii="Times New Roman" w:hAnsi="Times New Roman"/>
                <w:b/>
                <w:i/>
                <w:vanish w:val="false"/>
                <w:color w:val="00000A"/>
              </w:rPr>
              <w:t>Статья 45. Требования градостроительных регламентов</w:t>
            </w:r>
            <w:r>
              <w:rPr>
                <w:webHidden/>
              </w:rPr>
              <w:fldChar w:fldCharType="begin"/>
            </w:r>
            <w:r>
              <w:rPr>
                <w:webHidden/>
              </w:rPr>
              <w:instrText>PAGEREF _Toc485621465 \h</w:instrText>
            </w:r>
            <w:r>
              <w:rPr>
                <w:webHidden/>
              </w:rPr>
              <w:fldChar w:fldCharType="separate"/>
            </w:r>
            <w:r>
              <w:rPr>
                <w:rStyle w:val="Style46"/>
                <w:vanish w:val="false"/>
              </w:rPr>
              <w:tab/>
              <w:t>41</w:t>
            </w:r>
            <w:r>
              <w:rPr>
                <w:webHidden/>
              </w:rPr>
              <w:fldChar w:fldCharType="end"/>
            </w:r>
          </w:hyperlink>
        </w:p>
        <w:p>
          <w:pPr>
            <w:pStyle w:val="213"/>
            <w:tabs>
              <w:tab w:val="right" w:pos="9752" w:leader="dot"/>
            </w:tabs>
            <w:rPr>
              <w:rFonts w:eastAsia="" w:eastAsiaTheme="minorEastAsia"/>
              <w:lang w:eastAsia="ru-RU"/>
            </w:rPr>
          </w:pPr>
          <w:hyperlink w:anchor="_Toc485621466">
            <w:r>
              <w:rPr>
                <w:webHidden/>
                <w:rStyle w:val="Style46"/>
                <w:rFonts w:cs="Times New Roman" w:ascii="Times New Roman" w:hAnsi="Times New Roman"/>
                <w:b/>
                <w:i/>
                <w:vanish w:val="false"/>
                <w:color w:val="00000A"/>
              </w:rPr>
              <w:t>Статья 46.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r>
              <w:rPr>
                <w:webHidden/>
              </w:rPr>
              <w:fldChar w:fldCharType="begin"/>
            </w:r>
            <w:r>
              <w:rPr>
                <w:webHidden/>
              </w:rPr>
              <w:instrText>PAGEREF _Toc485621466 \h</w:instrText>
            </w:r>
            <w:r>
              <w:rPr>
                <w:webHidden/>
              </w:rPr>
              <w:fldChar w:fldCharType="separate"/>
            </w:r>
            <w:r>
              <w:rPr>
                <w:rStyle w:val="Style46"/>
                <w:vanish w:val="false"/>
              </w:rPr>
              <w:tab/>
              <w:t>42</w:t>
            </w:r>
            <w:r>
              <w:rPr>
                <w:webHidden/>
              </w:rPr>
              <w:fldChar w:fldCharType="end"/>
            </w:r>
          </w:hyperlink>
        </w:p>
        <w:p>
          <w:pPr>
            <w:pStyle w:val="213"/>
            <w:tabs>
              <w:tab w:val="right" w:pos="9752" w:leader="dot"/>
            </w:tabs>
            <w:rPr>
              <w:rFonts w:eastAsia="" w:eastAsiaTheme="minorEastAsia"/>
              <w:lang w:eastAsia="ru-RU"/>
            </w:rPr>
          </w:pPr>
          <w:hyperlink w:anchor="_Toc485621467">
            <w:r>
              <w:rPr>
                <w:webHidden/>
                <w:rStyle w:val="Style46"/>
                <w:rFonts w:cs="Times New Roman" w:ascii="Times New Roman" w:hAnsi="Times New Roman"/>
                <w:b/>
                <w:i/>
                <w:vanish w:val="false"/>
                <w:color w:val="00000A"/>
              </w:rPr>
              <w:t>Статья 47. Зоны с особыми условиями использования территорий</w:t>
            </w:r>
            <w:r>
              <w:rPr>
                <w:webHidden/>
              </w:rPr>
              <w:fldChar w:fldCharType="begin"/>
            </w:r>
            <w:r>
              <w:rPr>
                <w:webHidden/>
              </w:rPr>
              <w:instrText>PAGEREF _Toc485621467 \h</w:instrText>
            </w:r>
            <w:r>
              <w:rPr>
                <w:webHidden/>
              </w:rPr>
              <w:fldChar w:fldCharType="separate"/>
            </w:r>
            <w:r>
              <w:rPr>
                <w:rStyle w:val="Style46"/>
                <w:vanish w:val="false"/>
              </w:rPr>
              <w:tab/>
              <w:t>42</w:t>
            </w:r>
            <w:r>
              <w:rPr>
                <w:webHidden/>
              </w:rPr>
              <w:fldChar w:fldCharType="end"/>
            </w:r>
          </w:hyperlink>
        </w:p>
        <w:p>
          <w:pPr>
            <w:pStyle w:val="213"/>
            <w:tabs>
              <w:tab w:val="right" w:pos="9752" w:leader="dot"/>
            </w:tabs>
            <w:rPr>
              <w:rFonts w:eastAsia="" w:eastAsiaTheme="minorEastAsia"/>
              <w:lang w:eastAsia="ru-RU"/>
            </w:rPr>
          </w:pPr>
          <w:hyperlink w:anchor="_Toc485621468">
            <w:r>
              <w:rPr>
                <w:webHidden/>
                <w:rStyle w:val="Style46"/>
                <w:rFonts w:cs="Times New Roman" w:ascii="Times New Roman" w:hAnsi="Times New Roman"/>
                <w:b/>
                <w:i/>
                <w:vanish w:val="false"/>
                <w:color w:val="00000A"/>
              </w:rPr>
              <w:t>Статья 47.1. Ограничение использования территорий в границах зон затопления и подтопления, водоохранных зон и прибрежных защитных полос</w:t>
            </w:r>
            <w:r>
              <w:rPr>
                <w:webHidden/>
              </w:rPr>
              <w:fldChar w:fldCharType="begin"/>
            </w:r>
            <w:r>
              <w:rPr>
                <w:webHidden/>
              </w:rPr>
              <w:instrText>PAGEREF _Toc485621468 \h</w:instrText>
            </w:r>
            <w:r>
              <w:rPr>
                <w:webHidden/>
              </w:rPr>
              <w:fldChar w:fldCharType="separate"/>
            </w:r>
            <w:r>
              <w:rPr>
                <w:rStyle w:val="Style46"/>
                <w:vanish w:val="false"/>
              </w:rPr>
              <w:tab/>
              <w:t>42</w:t>
            </w:r>
            <w:r>
              <w:rPr>
                <w:webHidden/>
              </w:rPr>
              <w:fldChar w:fldCharType="end"/>
            </w:r>
          </w:hyperlink>
        </w:p>
        <w:p>
          <w:pPr>
            <w:pStyle w:val="213"/>
            <w:tabs>
              <w:tab w:val="right" w:pos="9752" w:leader="dot"/>
            </w:tabs>
            <w:rPr>
              <w:rFonts w:eastAsia="" w:eastAsiaTheme="minorEastAsia"/>
              <w:lang w:eastAsia="ru-RU"/>
            </w:rPr>
          </w:pPr>
          <w:hyperlink w:anchor="_Toc485621469">
            <w:r>
              <w:rPr>
                <w:webHidden/>
                <w:rStyle w:val="Style46"/>
                <w:rFonts w:cs="Times New Roman" w:ascii="Times New Roman" w:hAnsi="Times New Roman"/>
                <w:b/>
                <w:i/>
                <w:vanish w:val="false"/>
                <w:color w:val="00000A"/>
              </w:rPr>
              <w:t>Статья 47.2. Охранные зоны</w:t>
            </w:r>
            <w:r>
              <w:rPr>
                <w:webHidden/>
              </w:rPr>
              <w:fldChar w:fldCharType="begin"/>
            </w:r>
            <w:r>
              <w:rPr>
                <w:webHidden/>
              </w:rPr>
              <w:instrText>PAGEREF _Toc485621469 \h</w:instrText>
            </w:r>
            <w:r>
              <w:rPr>
                <w:webHidden/>
              </w:rPr>
              <w:fldChar w:fldCharType="separate"/>
            </w:r>
            <w:r>
              <w:rPr>
                <w:rStyle w:val="Style46"/>
                <w:vanish w:val="false"/>
              </w:rPr>
              <w:tab/>
              <w:t>44</w:t>
            </w:r>
            <w:r>
              <w:rPr>
                <w:webHidden/>
              </w:rPr>
              <w:fldChar w:fldCharType="end"/>
            </w:r>
          </w:hyperlink>
        </w:p>
        <w:p>
          <w:pPr>
            <w:pStyle w:val="213"/>
            <w:tabs>
              <w:tab w:val="right" w:pos="9752" w:leader="dot"/>
            </w:tabs>
            <w:rPr>
              <w:rFonts w:eastAsia="" w:eastAsiaTheme="minorEastAsia"/>
              <w:lang w:eastAsia="ru-RU"/>
            </w:rPr>
          </w:pPr>
          <w:hyperlink w:anchor="_Toc485621470">
            <w:r>
              <w:rPr>
                <w:webHidden/>
                <w:rStyle w:val="Style46"/>
                <w:rFonts w:cs="Times New Roman" w:ascii="Times New Roman" w:hAnsi="Times New Roman"/>
                <w:b/>
                <w:i/>
                <w:vanish w:val="false"/>
                <w:color w:val="00000A"/>
              </w:rPr>
              <w:t>Статья 47.3. Санитарно-защитные зоны. Санитарные разрывы</w:t>
            </w:r>
            <w:r>
              <w:rPr>
                <w:webHidden/>
              </w:rPr>
              <w:fldChar w:fldCharType="begin"/>
            </w:r>
            <w:r>
              <w:rPr>
                <w:webHidden/>
              </w:rPr>
              <w:instrText>PAGEREF _Toc485621470 \h</w:instrText>
            </w:r>
            <w:r>
              <w:rPr>
                <w:webHidden/>
              </w:rPr>
              <w:fldChar w:fldCharType="separate"/>
            </w:r>
            <w:r>
              <w:rPr>
                <w:rStyle w:val="Style46"/>
                <w:vanish w:val="false"/>
              </w:rPr>
              <w:tab/>
              <w:t>46</w:t>
            </w:r>
            <w:r>
              <w:rPr>
                <w:webHidden/>
              </w:rPr>
              <w:fldChar w:fldCharType="end"/>
            </w:r>
          </w:hyperlink>
        </w:p>
        <w:p>
          <w:pPr>
            <w:pStyle w:val="213"/>
            <w:tabs>
              <w:tab w:val="right" w:pos="9752" w:leader="dot"/>
            </w:tabs>
            <w:rPr>
              <w:rFonts w:eastAsia="" w:eastAsiaTheme="minorEastAsia"/>
              <w:lang w:eastAsia="ru-RU"/>
            </w:rPr>
          </w:pPr>
          <w:hyperlink w:anchor="_Toc485621471">
            <w:r>
              <w:rPr>
                <w:webHidden/>
                <w:rStyle w:val="Style46"/>
                <w:rFonts w:cs="Times New Roman" w:ascii="Times New Roman" w:hAnsi="Times New Roman"/>
                <w:b/>
                <w:i/>
                <w:vanish w:val="false"/>
                <w:color w:val="00000A"/>
              </w:rPr>
              <w:t>Статья 47.4. Приаэродромная территория</w:t>
            </w:r>
            <w:r>
              <w:rPr>
                <w:webHidden/>
              </w:rPr>
              <w:fldChar w:fldCharType="begin"/>
            </w:r>
            <w:r>
              <w:rPr>
                <w:webHidden/>
              </w:rPr>
              <w:instrText>PAGEREF _Toc485621471 \h</w:instrText>
            </w:r>
            <w:r>
              <w:rPr>
                <w:webHidden/>
              </w:rPr>
              <w:fldChar w:fldCharType="separate"/>
            </w:r>
            <w:r>
              <w:rPr>
                <w:rStyle w:val="Style46"/>
                <w:vanish w:val="false"/>
              </w:rPr>
              <w:tab/>
              <w:t>47</w:t>
            </w:r>
            <w:r>
              <w:rPr>
                <w:webHidden/>
              </w:rPr>
              <w:fldChar w:fldCharType="end"/>
            </w:r>
          </w:hyperlink>
        </w:p>
        <w:p>
          <w:pPr>
            <w:pStyle w:val="213"/>
            <w:tabs>
              <w:tab w:val="right" w:pos="9752" w:leader="dot"/>
            </w:tabs>
            <w:rPr>
              <w:rFonts w:eastAsia="" w:eastAsiaTheme="minorEastAsia"/>
              <w:lang w:eastAsia="ru-RU"/>
            </w:rPr>
          </w:pPr>
          <w:hyperlink w:anchor="_Toc485621472">
            <w:r>
              <w:rPr>
                <w:webHidden/>
                <w:rStyle w:val="Style46"/>
                <w:rFonts w:cs="Times New Roman" w:ascii="Times New Roman" w:hAnsi="Times New Roman"/>
                <w:b/>
                <w:i/>
                <w:vanish w:val="false"/>
                <w:color w:val="00000A"/>
              </w:rPr>
              <w:t>Статья 47.5. Зоны санитарной охраны источников водоснабжения</w:t>
            </w:r>
            <w:r>
              <w:rPr>
                <w:webHidden/>
              </w:rPr>
              <w:fldChar w:fldCharType="begin"/>
            </w:r>
            <w:r>
              <w:rPr>
                <w:webHidden/>
              </w:rPr>
              <w:instrText>PAGEREF _Toc485621472 \h</w:instrText>
            </w:r>
            <w:r>
              <w:rPr>
                <w:webHidden/>
              </w:rPr>
              <w:fldChar w:fldCharType="separate"/>
            </w:r>
            <w:r>
              <w:rPr>
                <w:rStyle w:val="Style46"/>
                <w:vanish w:val="false"/>
              </w:rPr>
              <w:tab/>
              <w:t>48</w:t>
            </w:r>
            <w:r>
              <w:rPr>
                <w:webHidden/>
              </w:rPr>
              <w:fldChar w:fldCharType="end"/>
            </w:r>
          </w:hyperlink>
        </w:p>
        <w:p>
          <w:pPr>
            <w:pStyle w:val="213"/>
            <w:tabs>
              <w:tab w:val="right" w:pos="9752" w:leader="dot"/>
            </w:tabs>
            <w:rPr>
              <w:rFonts w:eastAsia="" w:eastAsiaTheme="minorEastAsia"/>
              <w:lang w:eastAsia="ru-RU"/>
            </w:rPr>
          </w:pPr>
          <w:hyperlink w:anchor="_Toc485621473">
            <w:r>
              <w:rPr>
                <w:webHidden/>
                <w:rStyle w:val="Style46"/>
                <w:rFonts w:cs="Times New Roman" w:ascii="Times New Roman" w:hAnsi="Times New Roman"/>
                <w:b/>
                <w:i/>
                <w:vanish w:val="false"/>
                <w:color w:val="00000A"/>
              </w:rPr>
              <w:t>Статья 47.6. Зоны объектов культурного наследия</w:t>
            </w:r>
            <w:r>
              <w:rPr>
                <w:webHidden/>
              </w:rPr>
              <w:fldChar w:fldCharType="begin"/>
            </w:r>
            <w:r>
              <w:rPr>
                <w:webHidden/>
              </w:rPr>
              <w:instrText>PAGEREF _Toc485621473 \h</w:instrText>
            </w:r>
            <w:r>
              <w:rPr>
                <w:webHidden/>
              </w:rPr>
              <w:fldChar w:fldCharType="separate"/>
            </w:r>
            <w:r>
              <w:rPr>
                <w:rStyle w:val="Style46"/>
                <w:vanish w:val="false"/>
              </w:rPr>
              <w:tab/>
              <w:t>48</w:t>
            </w:r>
            <w:r>
              <w:rPr>
                <w:webHidden/>
              </w:rPr>
              <w:fldChar w:fldCharType="end"/>
            </w:r>
          </w:hyperlink>
        </w:p>
        <w:p>
          <w:pPr>
            <w:pStyle w:val="213"/>
            <w:tabs>
              <w:tab w:val="right" w:pos="9752" w:leader="dot"/>
            </w:tabs>
            <w:rPr>
              <w:rFonts w:eastAsia="" w:eastAsiaTheme="minorEastAsia"/>
              <w:lang w:eastAsia="ru-RU"/>
            </w:rPr>
          </w:pPr>
          <w:hyperlink w:anchor="_Toc485621474">
            <w:r>
              <w:rPr>
                <w:webHidden/>
                <w:rStyle w:val="Style46"/>
                <w:rFonts w:eastAsia="Times New Roman" w:cs="Times New Roman" w:ascii="Times New Roman" w:hAnsi="Times New Roman"/>
                <w:b/>
                <w:bCs/>
                <w:i/>
                <w:vanish w:val="false"/>
                <w:color w:val="00000A"/>
                <w:lang w:bidi="ru-RU"/>
              </w:rPr>
              <w:t>Статья 48. Параметры допустимой площади озелененной территории земельных участков, относящихся ко всем территориальным зонам</w:t>
            </w:r>
            <w:r>
              <w:rPr>
                <w:webHidden/>
              </w:rPr>
              <w:fldChar w:fldCharType="begin"/>
            </w:r>
            <w:r>
              <w:rPr>
                <w:webHidden/>
              </w:rPr>
              <w:instrText>PAGEREF _Toc485621474 \h</w:instrText>
            </w:r>
            <w:r>
              <w:rPr>
                <w:webHidden/>
              </w:rPr>
              <w:fldChar w:fldCharType="separate"/>
            </w:r>
            <w:r>
              <w:rPr>
                <w:rStyle w:val="Style46"/>
                <w:vanish w:val="false"/>
              </w:rPr>
              <w:tab/>
              <w:t>51</w:t>
            </w:r>
            <w:r>
              <w:rPr>
                <w:webHidden/>
              </w:rPr>
              <w:fldChar w:fldCharType="end"/>
            </w:r>
          </w:hyperlink>
        </w:p>
        <w:p>
          <w:pPr>
            <w:pStyle w:val="15"/>
            <w:tabs>
              <w:tab w:val="right" w:pos="9752" w:leader="dot"/>
            </w:tabs>
            <w:rPr>
              <w:rFonts w:eastAsia="" w:eastAsiaTheme="minorEastAsia"/>
              <w:lang w:eastAsia="ru-RU"/>
            </w:rPr>
          </w:pPr>
          <w:hyperlink w:anchor="_Toc485621475">
            <w:r>
              <w:rPr>
                <w:webHidden/>
                <w:rStyle w:val="Style46"/>
                <w:rFonts w:eastAsia="Times New Roman" w:cs="Times New Roman" w:ascii="Times New Roman" w:hAnsi="Times New Roman"/>
                <w:b/>
                <w:bCs/>
                <w:vanish w:val="false"/>
                <w:color w:val="00000A"/>
                <w:lang w:bidi="ru-RU"/>
              </w:rPr>
              <w:t>ЖИЛЫЕ ЗОНЫ</w:t>
            </w:r>
            <w:r>
              <w:rPr>
                <w:webHidden/>
              </w:rPr>
              <w:fldChar w:fldCharType="begin"/>
            </w:r>
            <w:r>
              <w:rPr>
                <w:webHidden/>
              </w:rPr>
              <w:instrText>PAGEREF _Toc485621475 \h</w:instrText>
            </w:r>
            <w:r>
              <w:rPr>
                <w:webHidden/>
              </w:rPr>
              <w:fldChar w:fldCharType="separate"/>
            </w:r>
            <w:r>
              <w:rPr>
                <w:rStyle w:val="Style46"/>
                <w:vanish w:val="false"/>
              </w:rPr>
              <w:tab/>
              <w:t>51</w:t>
            </w:r>
            <w:r>
              <w:rPr>
                <w:webHidden/>
              </w:rPr>
              <w:fldChar w:fldCharType="end"/>
            </w:r>
          </w:hyperlink>
        </w:p>
        <w:p>
          <w:pPr>
            <w:pStyle w:val="213"/>
            <w:tabs>
              <w:tab w:val="right" w:pos="9752" w:leader="dot"/>
            </w:tabs>
            <w:rPr>
              <w:rFonts w:eastAsia="" w:eastAsiaTheme="minorEastAsia"/>
              <w:lang w:eastAsia="ru-RU"/>
            </w:rPr>
          </w:pPr>
          <w:hyperlink w:anchor="_Toc485621476">
            <w:r>
              <w:rPr>
                <w:webHidden/>
                <w:rStyle w:val="Style46"/>
                <w:rFonts w:eastAsia="Times New Roman" w:cs="Times New Roman" w:ascii="Times New Roman" w:hAnsi="Times New Roman"/>
                <w:b/>
                <w:bCs/>
                <w:i/>
                <w:vanish w:val="false"/>
                <w:color w:val="00000A"/>
                <w:lang w:bidi="ru-RU"/>
              </w:rPr>
              <w:t>Статья 49. Ж-1. Зона застройки индивидуальными усадебными жилыми домами (не более 3 этажей)</w:t>
            </w:r>
            <w:r>
              <w:rPr>
                <w:webHidden/>
              </w:rPr>
              <w:fldChar w:fldCharType="begin"/>
            </w:r>
            <w:r>
              <w:rPr>
                <w:webHidden/>
              </w:rPr>
              <w:instrText>PAGEREF _Toc485621476 \h</w:instrText>
            </w:r>
            <w:r>
              <w:rPr>
                <w:webHidden/>
              </w:rPr>
              <w:fldChar w:fldCharType="separate"/>
            </w:r>
            <w:r>
              <w:rPr>
                <w:rStyle w:val="Style46"/>
                <w:vanish w:val="false"/>
              </w:rPr>
              <w:tab/>
              <w:t>51</w:t>
            </w:r>
            <w:r>
              <w:rPr>
                <w:webHidden/>
              </w:rPr>
              <w:fldChar w:fldCharType="end"/>
            </w:r>
          </w:hyperlink>
        </w:p>
        <w:p>
          <w:pPr>
            <w:pStyle w:val="213"/>
            <w:tabs>
              <w:tab w:val="right" w:pos="9752" w:leader="dot"/>
            </w:tabs>
            <w:rPr>
              <w:rFonts w:eastAsia="" w:eastAsiaTheme="minorEastAsia"/>
              <w:lang w:eastAsia="ru-RU"/>
            </w:rPr>
          </w:pPr>
          <w:hyperlink w:anchor="_Toc485621477">
            <w:r>
              <w:rPr>
                <w:webHidden/>
                <w:rStyle w:val="Style46"/>
                <w:rFonts w:eastAsia="Times New Roman" w:cs="Times New Roman" w:ascii="Times New Roman" w:hAnsi="Times New Roman"/>
                <w:b/>
                <w:bCs/>
                <w:i/>
                <w:vanish w:val="false"/>
                <w:color w:val="00000A"/>
                <w:lang w:bidi="ru-RU"/>
              </w:rPr>
              <w:t>Статья 50. Ж-3. Зона застройки среднеэтажными жилыми домами (5-8 этажей)</w:t>
            </w:r>
            <w:r>
              <w:rPr>
                <w:webHidden/>
              </w:rPr>
              <w:fldChar w:fldCharType="begin"/>
            </w:r>
            <w:r>
              <w:rPr>
                <w:webHidden/>
              </w:rPr>
              <w:instrText>PAGEREF _Toc485621477 \h</w:instrText>
            </w:r>
            <w:r>
              <w:rPr>
                <w:webHidden/>
              </w:rPr>
              <w:fldChar w:fldCharType="separate"/>
            </w:r>
            <w:r>
              <w:rPr>
                <w:rStyle w:val="Style46"/>
                <w:vanish w:val="false"/>
              </w:rPr>
              <w:tab/>
              <w:t>57</w:t>
            </w:r>
            <w:r>
              <w:rPr>
                <w:webHidden/>
              </w:rPr>
              <w:fldChar w:fldCharType="end"/>
            </w:r>
          </w:hyperlink>
        </w:p>
        <w:p>
          <w:pPr>
            <w:pStyle w:val="15"/>
            <w:tabs>
              <w:tab w:val="right" w:pos="9752" w:leader="dot"/>
            </w:tabs>
            <w:rPr>
              <w:rFonts w:eastAsia="" w:eastAsiaTheme="minorEastAsia"/>
              <w:lang w:eastAsia="ru-RU"/>
            </w:rPr>
          </w:pPr>
          <w:hyperlink w:anchor="_Toc485621478">
            <w:r>
              <w:rPr>
                <w:webHidden/>
                <w:rStyle w:val="Style46"/>
                <w:rFonts w:eastAsia="Times New Roman" w:cs="Times New Roman" w:ascii="Times New Roman" w:hAnsi="Times New Roman"/>
                <w:b/>
                <w:bCs/>
                <w:vanish w:val="false"/>
                <w:color w:val="00000A"/>
                <w:lang w:bidi="ru-RU"/>
              </w:rPr>
              <w:t>ОБЩЕСТВЕННО-ДЕЛОВЫЕ ЗОНЫ МНОГОФУНКИОНАЛЬНОГО НАЗНАЧЕНИЯ</w:t>
            </w:r>
            <w:r>
              <w:rPr>
                <w:webHidden/>
              </w:rPr>
              <w:fldChar w:fldCharType="begin"/>
            </w:r>
            <w:r>
              <w:rPr>
                <w:webHidden/>
              </w:rPr>
              <w:instrText>PAGEREF _Toc485621478 \h</w:instrText>
            </w:r>
            <w:r>
              <w:rPr>
                <w:webHidden/>
              </w:rPr>
              <w:fldChar w:fldCharType="separate"/>
            </w:r>
            <w:r>
              <w:rPr>
                <w:rStyle w:val="Style46"/>
                <w:vanish w:val="false"/>
              </w:rPr>
              <w:tab/>
              <w:t>61</w:t>
            </w:r>
            <w:r>
              <w:rPr>
                <w:webHidden/>
              </w:rPr>
              <w:fldChar w:fldCharType="end"/>
            </w:r>
          </w:hyperlink>
        </w:p>
        <w:p>
          <w:pPr>
            <w:pStyle w:val="213"/>
            <w:tabs>
              <w:tab w:val="right" w:pos="9752" w:leader="dot"/>
            </w:tabs>
            <w:rPr>
              <w:rFonts w:eastAsia="" w:eastAsiaTheme="minorEastAsia"/>
              <w:lang w:eastAsia="ru-RU"/>
            </w:rPr>
          </w:pPr>
          <w:hyperlink w:anchor="_Toc485621479">
            <w:r>
              <w:rPr>
                <w:webHidden/>
                <w:rStyle w:val="Style46"/>
                <w:rFonts w:eastAsia="Times New Roman" w:cs="Times New Roman" w:ascii="Times New Roman" w:hAnsi="Times New Roman"/>
                <w:b/>
                <w:i/>
                <w:vanish w:val="false"/>
                <w:color w:val="00000A"/>
                <w:lang w:bidi="ru-RU"/>
              </w:rPr>
              <w:t>Статья 51. ОД-1. Зона делового, общественного и коммерческого назначения</w:t>
            </w:r>
            <w:r>
              <w:rPr>
                <w:webHidden/>
              </w:rPr>
              <w:fldChar w:fldCharType="begin"/>
            </w:r>
            <w:r>
              <w:rPr>
                <w:webHidden/>
              </w:rPr>
              <w:instrText>PAGEREF _Toc485621479 \h</w:instrText>
            </w:r>
            <w:r>
              <w:rPr>
                <w:webHidden/>
              </w:rPr>
              <w:fldChar w:fldCharType="separate"/>
            </w:r>
            <w:r>
              <w:rPr>
                <w:rStyle w:val="Style46"/>
                <w:vanish w:val="false"/>
              </w:rPr>
              <w:tab/>
              <w:t>61</w:t>
            </w:r>
            <w:r>
              <w:rPr>
                <w:webHidden/>
              </w:rPr>
              <w:fldChar w:fldCharType="end"/>
            </w:r>
          </w:hyperlink>
        </w:p>
        <w:p>
          <w:pPr>
            <w:pStyle w:val="15"/>
            <w:tabs>
              <w:tab w:val="right" w:pos="9752" w:leader="dot"/>
            </w:tabs>
            <w:rPr>
              <w:rFonts w:eastAsia="" w:eastAsiaTheme="minorEastAsia"/>
              <w:lang w:eastAsia="ru-RU"/>
            </w:rPr>
          </w:pPr>
          <w:hyperlink w:anchor="_Toc485621480">
            <w:r>
              <w:rPr>
                <w:webHidden/>
                <w:rStyle w:val="Style46"/>
                <w:rFonts w:eastAsia="Times New Roman" w:cs="Times New Roman" w:ascii="Times New Roman" w:hAnsi="Times New Roman"/>
                <w:b/>
                <w:bCs/>
                <w:vanish w:val="false"/>
                <w:color w:val="00000A"/>
                <w:lang w:bidi="ru-RU"/>
              </w:rPr>
              <w:t>РЕКРЕАЦИОННЫЕ ЗОНЫ</w:t>
            </w:r>
            <w:r>
              <w:rPr>
                <w:webHidden/>
              </w:rPr>
              <w:fldChar w:fldCharType="begin"/>
            </w:r>
            <w:r>
              <w:rPr>
                <w:webHidden/>
              </w:rPr>
              <w:instrText>PAGEREF _Toc485621480 \h</w:instrText>
            </w:r>
            <w:r>
              <w:rPr>
                <w:webHidden/>
              </w:rPr>
              <w:fldChar w:fldCharType="separate"/>
            </w:r>
            <w:r>
              <w:rPr>
                <w:rStyle w:val="Style46"/>
                <w:vanish w:val="false"/>
              </w:rPr>
              <w:tab/>
              <w:t>65</w:t>
            </w:r>
            <w:r>
              <w:rPr>
                <w:webHidden/>
              </w:rPr>
              <w:fldChar w:fldCharType="end"/>
            </w:r>
          </w:hyperlink>
        </w:p>
        <w:p>
          <w:pPr>
            <w:pStyle w:val="213"/>
            <w:tabs>
              <w:tab w:val="right" w:pos="9752" w:leader="dot"/>
            </w:tabs>
            <w:rPr>
              <w:rFonts w:eastAsia="" w:eastAsiaTheme="minorEastAsia"/>
              <w:lang w:eastAsia="ru-RU"/>
            </w:rPr>
          </w:pPr>
          <w:hyperlink w:anchor="_Toc485621481">
            <w:r>
              <w:rPr>
                <w:webHidden/>
                <w:rStyle w:val="Style46"/>
                <w:rFonts w:eastAsia="Times New Roman" w:cs="Times New Roman" w:ascii="Times New Roman" w:hAnsi="Times New Roman"/>
                <w:b/>
                <w:bCs/>
                <w:i/>
                <w:vanish w:val="false"/>
                <w:color w:val="00000A"/>
                <w:lang w:bidi="ru-RU"/>
              </w:rPr>
              <w:t>Статья 52. Р-1. Зона рекреационного назначения</w:t>
            </w:r>
            <w:r>
              <w:rPr>
                <w:webHidden/>
              </w:rPr>
              <w:fldChar w:fldCharType="begin"/>
            </w:r>
            <w:r>
              <w:rPr>
                <w:webHidden/>
              </w:rPr>
              <w:instrText>PAGEREF _Toc485621481 \h</w:instrText>
            </w:r>
            <w:r>
              <w:rPr>
                <w:webHidden/>
              </w:rPr>
              <w:fldChar w:fldCharType="separate"/>
            </w:r>
            <w:r>
              <w:rPr>
                <w:rStyle w:val="Style46"/>
                <w:vanish w:val="false"/>
              </w:rPr>
              <w:tab/>
              <w:t>65</w:t>
            </w:r>
            <w:r>
              <w:rPr>
                <w:webHidden/>
              </w:rPr>
              <w:fldChar w:fldCharType="end"/>
            </w:r>
          </w:hyperlink>
        </w:p>
        <w:p>
          <w:pPr>
            <w:pStyle w:val="213"/>
            <w:tabs>
              <w:tab w:val="right" w:pos="9752" w:leader="dot"/>
            </w:tabs>
            <w:rPr>
              <w:rFonts w:eastAsia="" w:eastAsiaTheme="minorEastAsia"/>
              <w:lang w:eastAsia="ru-RU"/>
            </w:rPr>
          </w:pPr>
          <w:hyperlink w:anchor="_Toc485621482">
            <w:r>
              <w:rPr>
                <w:webHidden/>
                <w:rStyle w:val="Style46"/>
                <w:rFonts w:eastAsia="Times New Roman" w:cs="Times New Roman" w:ascii="Times New Roman" w:hAnsi="Times New Roman"/>
                <w:b/>
                <w:bCs/>
                <w:i/>
                <w:vanish w:val="false"/>
                <w:color w:val="00000A"/>
                <w:lang w:bidi="ru-RU"/>
              </w:rPr>
              <w:t>Статья 53. Р-2. Зона зеленых насаждений и озеленённых территорий защитного значения</w:t>
            </w:r>
            <w:r>
              <w:rPr>
                <w:webHidden/>
              </w:rPr>
              <w:fldChar w:fldCharType="begin"/>
            </w:r>
            <w:r>
              <w:rPr>
                <w:webHidden/>
              </w:rPr>
              <w:instrText>PAGEREF _Toc485621482 \h</w:instrText>
            </w:r>
            <w:r>
              <w:rPr>
                <w:webHidden/>
              </w:rPr>
              <w:fldChar w:fldCharType="separate"/>
            </w:r>
            <w:r>
              <w:rPr>
                <w:rStyle w:val="Style46"/>
                <w:vanish w:val="false"/>
              </w:rPr>
              <w:tab/>
              <w:t>66</w:t>
            </w:r>
            <w:r>
              <w:rPr>
                <w:webHidden/>
              </w:rPr>
              <w:fldChar w:fldCharType="end"/>
            </w:r>
          </w:hyperlink>
        </w:p>
        <w:p>
          <w:pPr>
            <w:pStyle w:val="15"/>
            <w:tabs>
              <w:tab w:val="right" w:pos="9752" w:leader="dot"/>
            </w:tabs>
            <w:rPr>
              <w:rFonts w:eastAsia="" w:eastAsiaTheme="minorEastAsia"/>
              <w:lang w:eastAsia="ru-RU"/>
            </w:rPr>
          </w:pPr>
          <w:hyperlink w:anchor="_Toc485621483">
            <w:r>
              <w:rPr>
                <w:webHidden/>
                <w:rStyle w:val="Style46"/>
                <w:rFonts w:eastAsia="Tahoma" w:cs="Times New Roman" w:ascii="Times New Roman" w:hAnsi="Times New Roman"/>
                <w:b/>
                <w:bCs/>
                <w:smallCaps/>
                <w:vanish w:val="false"/>
                <w:color w:val="00000A"/>
                <w:lang w:bidi="ru-RU"/>
              </w:rPr>
              <w:t>ЗОНЫ ИНЖЕНЕРНОЙ И ТРАНСПОРТНОЙ ИНФРАСТРУКТУР</w:t>
            </w:r>
            <w:r>
              <w:rPr>
                <w:webHidden/>
              </w:rPr>
              <w:fldChar w:fldCharType="begin"/>
            </w:r>
            <w:r>
              <w:rPr>
                <w:webHidden/>
              </w:rPr>
              <w:instrText>PAGEREF _Toc485621483 \h</w:instrText>
            </w:r>
            <w:r>
              <w:rPr>
                <w:webHidden/>
              </w:rPr>
              <w:fldChar w:fldCharType="separate"/>
            </w:r>
            <w:r>
              <w:rPr>
                <w:rStyle w:val="Style46"/>
                <w:vanish w:val="false"/>
              </w:rPr>
              <w:tab/>
              <w:t>67</w:t>
            </w:r>
            <w:r>
              <w:rPr>
                <w:webHidden/>
              </w:rPr>
              <w:fldChar w:fldCharType="end"/>
            </w:r>
          </w:hyperlink>
        </w:p>
        <w:p>
          <w:pPr>
            <w:pStyle w:val="213"/>
            <w:tabs>
              <w:tab w:val="right" w:pos="9752" w:leader="dot"/>
            </w:tabs>
            <w:rPr>
              <w:rFonts w:eastAsia="" w:eastAsiaTheme="minorEastAsia"/>
              <w:lang w:eastAsia="ru-RU"/>
            </w:rPr>
          </w:pPr>
          <w:hyperlink w:anchor="_Toc485621484">
            <w:r>
              <w:rPr>
                <w:webHidden/>
                <w:rStyle w:val="Style46"/>
                <w:rFonts w:eastAsia="Tahoma" w:cs="Times New Roman" w:ascii="Times New Roman" w:hAnsi="Times New Roman"/>
                <w:b/>
                <w:bCs/>
                <w:i/>
                <w:vanish w:val="false"/>
                <w:color w:val="00000A"/>
              </w:rPr>
              <w:t>Статья 54. ИТ-1 Зона предприятий автомобильного транспорта, магистральных улиц, дорог, объектов коммунального хозяйства и объектов инженерной инфраструктуры</w:t>
            </w:r>
            <w:r>
              <w:rPr>
                <w:webHidden/>
              </w:rPr>
              <w:fldChar w:fldCharType="begin"/>
            </w:r>
            <w:r>
              <w:rPr>
                <w:webHidden/>
              </w:rPr>
              <w:instrText>PAGEREF _Toc485621484 \h</w:instrText>
            </w:r>
            <w:r>
              <w:rPr>
                <w:webHidden/>
              </w:rPr>
              <w:fldChar w:fldCharType="separate"/>
            </w:r>
            <w:r>
              <w:rPr>
                <w:rStyle w:val="Style46"/>
                <w:vanish w:val="false"/>
              </w:rPr>
              <w:tab/>
              <w:t>68</w:t>
            </w:r>
            <w:r>
              <w:rPr>
                <w:webHidden/>
              </w:rPr>
              <w:fldChar w:fldCharType="end"/>
            </w:r>
          </w:hyperlink>
        </w:p>
        <w:p>
          <w:pPr>
            <w:pStyle w:val="213"/>
            <w:tabs>
              <w:tab w:val="right" w:pos="9752" w:leader="dot"/>
            </w:tabs>
            <w:rPr>
              <w:rFonts w:eastAsia="" w:eastAsiaTheme="minorEastAsia"/>
              <w:lang w:eastAsia="ru-RU"/>
            </w:rPr>
          </w:pPr>
          <w:hyperlink w:anchor="_Toc485621485">
            <w:r>
              <w:rPr>
                <w:webHidden/>
                <w:rStyle w:val="Style46"/>
                <w:rFonts w:eastAsia="Tahoma" w:cs="Times New Roman" w:ascii="Times New Roman" w:hAnsi="Times New Roman"/>
                <w:b/>
                <w:bCs/>
                <w:i/>
                <w:vanish w:val="false"/>
                <w:color w:val="00000A"/>
              </w:rPr>
              <w:t>Статья 55. ИТ-3 Зона воздушного тран</w:t>
            </w:r>
            <w:bookmarkStart w:id="0" w:name="_GoBack"/>
            <w:r>
              <w:rPr>
                <w:rStyle w:val="Style46"/>
                <w:rFonts w:eastAsia="Tahoma" w:cs="Times New Roman" w:ascii="Times New Roman" w:hAnsi="Times New Roman"/>
                <w:b/>
                <w:bCs/>
                <w:i/>
                <w:color w:val="00000A"/>
              </w:rPr>
              <w:t>спорт</w:t>
            </w:r>
            <w:bookmarkEnd w:id="0"/>
            <w:r>
              <w:rPr>
                <w:rStyle w:val="Style46"/>
                <w:rFonts w:eastAsia="Tahoma" w:cs="Times New Roman" w:ascii="Times New Roman" w:hAnsi="Times New Roman"/>
                <w:b/>
                <w:bCs/>
                <w:i/>
                <w:color w:val="00000A"/>
              </w:rPr>
              <w:t>а</w:t>
            </w:r>
            <w:r>
              <w:rPr>
                <w:webHidden/>
              </w:rPr>
              <w:fldChar w:fldCharType="begin"/>
            </w:r>
            <w:r>
              <w:rPr>
                <w:webHidden/>
              </w:rPr>
              <w:instrText>PAGEREF _Toc485621485 \h</w:instrText>
            </w:r>
            <w:r>
              <w:rPr>
                <w:webHidden/>
              </w:rPr>
              <w:fldChar w:fldCharType="separate"/>
            </w:r>
            <w:r>
              <w:rPr>
                <w:rStyle w:val="Style46"/>
                <w:vanish w:val="false"/>
              </w:rPr>
              <w:tab/>
              <w:t>70</w:t>
            </w:r>
            <w:r>
              <w:rPr>
                <w:webHidden/>
              </w:rPr>
              <w:fldChar w:fldCharType="end"/>
            </w:r>
          </w:hyperlink>
        </w:p>
        <w:p>
          <w:pPr>
            <w:pStyle w:val="213"/>
            <w:tabs>
              <w:tab w:val="right" w:pos="9752" w:leader="dot"/>
            </w:tabs>
            <w:rPr>
              <w:rFonts w:eastAsia="" w:eastAsiaTheme="minorEastAsia"/>
              <w:lang w:eastAsia="ru-RU"/>
            </w:rPr>
          </w:pPr>
          <w:hyperlink w:anchor="_Toc485621486">
            <w:r>
              <w:rPr>
                <w:webHidden/>
                <w:rStyle w:val="Style46"/>
                <w:rFonts w:eastAsia="Times New Roman" w:cs="Times New Roman" w:ascii="Times New Roman" w:hAnsi="Times New Roman"/>
                <w:b/>
                <w:bCs/>
                <w:vanish w:val="false"/>
                <w:color w:val="00000A"/>
                <w:lang w:bidi="ru-RU"/>
              </w:rPr>
              <w:t>ЗОНЫ ОБЕСПЕЧЕНИЯ ОБОРОНЫ И БЕЗОПАСНОСТИ</w:t>
            </w:r>
            <w:r>
              <w:rPr>
                <w:webHidden/>
              </w:rPr>
              <w:fldChar w:fldCharType="begin"/>
            </w:r>
            <w:r>
              <w:rPr>
                <w:webHidden/>
              </w:rPr>
              <w:instrText>PAGEREF _Toc485621486 \h</w:instrText>
            </w:r>
            <w:r>
              <w:rPr>
                <w:webHidden/>
              </w:rPr>
              <w:fldChar w:fldCharType="separate"/>
            </w:r>
            <w:r>
              <w:rPr>
                <w:rStyle w:val="Style46"/>
                <w:vanish w:val="false"/>
              </w:rPr>
              <w:tab/>
              <w:t>71</w:t>
            </w:r>
            <w:r>
              <w:rPr>
                <w:webHidden/>
              </w:rPr>
              <w:fldChar w:fldCharType="end"/>
            </w:r>
          </w:hyperlink>
        </w:p>
        <w:p>
          <w:pPr>
            <w:pStyle w:val="213"/>
            <w:tabs>
              <w:tab w:val="right" w:pos="9752" w:leader="dot"/>
            </w:tabs>
            <w:rPr>
              <w:rFonts w:eastAsia="" w:eastAsiaTheme="minorEastAsia"/>
              <w:lang w:eastAsia="ru-RU"/>
            </w:rPr>
          </w:pPr>
          <w:hyperlink w:anchor="_Toc485621487">
            <w:r>
              <w:rPr>
                <w:webHidden/>
                <w:rStyle w:val="Style46"/>
                <w:rFonts w:eastAsia="Tahoma" w:cs="Times New Roman" w:ascii="Times New Roman" w:hAnsi="Times New Roman"/>
                <w:b/>
                <w:bCs/>
                <w:i/>
                <w:vanish w:val="false"/>
                <w:color w:val="00000A"/>
              </w:rPr>
              <w:t>Статья 56. ОБ Зона обеспечения обороны и безопасности</w:t>
            </w:r>
            <w:r>
              <w:rPr>
                <w:webHidden/>
              </w:rPr>
              <w:fldChar w:fldCharType="begin"/>
            </w:r>
            <w:r>
              <w:rPr>
                <w:webHidden/>
              </w:rPr>
              <w:instrText>PAGEREF _Toc485621487 \h</w:instrText>
            </w:r>
            <w:r>
              <w:rPr>
                <w:webHidden/>
              </w:rPr>
              <w:fldChar w:fldCharType="separate"/>
            </w:r>
            <w:r>
              <w:rPr>
                <w:rStyle w:val="Style46"/>
                <w:vanish w:val="false"/>
              </w:rPr>
              <w:tab/>
              <w:t>71</w:t>
            </w:r>
            <w:r>
              <w:rPr>
                <w:webHidden/>
              </w:rPr>
              <w:fldChar w:fldCharType="end"/>
            </w:r>
          </w:hyperlink>
        </w:p>
        <w:p>
          <w:pPr>
            <w:pStyle w:val="213"/>
            <w:tabs>
              <w:tab w:val="right" w:pos="9752" w:leader="dot"/>
            </w:tabs>
            <w:rPr>
              <w:rFonts w:eastAsia="" w:eastAsiaTheme="minorEastAsia"/>
              <w:lang w:eastAsia="ru-RU"/>
            </w:rPr>
          </w:pPr>
          <w:hyperlink w:anchor="_Toc485621488">
            <w:r>
              <w:rPr>
                <w:webHidden/>
                <w:rStyle w:val="Style46"/>
                <w:rFonts w:eastAsia="Times New Roman" w:cs="Times New Roman" w:ascii="Times New Roman" w:hAnsi="Times New Roman"/>
                <w:b/>
                <w:bCs/>
                <w:vanish w:val="false"/>
                <w:color w:val="00000A"/>
                <w:lang w:bidi="ru-RU"/>
              </w:rPr>
              <w:t>ЗОНЫ СПЕЦИАЛЬНОГОНАЗНАЧЕНИЯ</w:t>
            </w:r>
            <w:r>
              <w:rPr>
                <w:webHidden/>
              </w:rPr>
              <w:fldChar w:fldCharType="begin"/>
            </w:r>
            <w:r>
              <w:rPr>
                <w:webHidden/>
              </w:rPr>
              <w:instrText>PAGEREF _Toc485621488 \h</w:instrText>
            </w:r>
            <w:r>
              <w:rPr>
                <w:webHidden/>
              </w:rPr>
              <w:fldChar w:fldCharType="separate"/>
            </w:r>
            <w:r>
              <w:rPr>
                <w:rStyle w:val="Style46"/>
                <w:vanish w:val="false"/>
              </w:rPr>
              <w:tab/>
              <w:t>73</w:t>
            </w:r>
            <w:r>
              <w:rPr>
                <w:webHidden/>
              </w:rPr>
              <w:fldChar w:fldCharType="end"/>
            </w:r>
          </w:hyperlink>
        </w:p>
        <w:p>
          <w:pPr>
            <w:pStyle w:val="213"/>
            <w:tabs>
              <w:tab w:val="right" w:pos="9752" w:leader="dot"/>
            </w:tabs>
            <w:rPr>
              <w:rFonts w:eastAsia="" w:eastAsiaTheme="minorEastAsia"/>
              <w:lang w:eastAsia="ru-RU"/>
            </w:rPr>
          </w:pPr>
          <w:hyperlink w:anchor="_Toc485621489">
            <w:r>
              <w:rPr>
                <w:webHidden/>
                <w:rStyle w:val="Style46"/>
                <w:rFonts w:eastAsia="Times New Roman" w:cs="Times New Roman" w:ascii="Times New Roman" w:hAnsi="Times New Roman"/>
                <w:b/>
                <w:bCs/>
                <w:i/>
                <w:vanish w:val="false"/>
                <w:color w:val="00000A"/>
                <w:lang w:bidi="ru-RU"/>
              </w:rPr>
              <w:t>Статья 57. СП-1. Зона кладбищ</w:t>
            </w:r>
            <w:r>
              <w:rPr>
                <w:webHidden/>
              </w:rPr>
              <w:fldChar w:fldCharType="begin"/>
            </w:r>
            <w:r>
              <w:rPr>
                <w:webHidden/>
              </w:rPr>
              <w:instrText>PAGEREF _Toc485621489 \h</w:instrText>
            </w:r>
            <w:r>
              <w:rPr>
                <w:webHidden/>
              </w:rPr>
              <w:fldChar w:fldCharType="separate"/>
            </w:r>
            <w:r>
              <w:rPr>
                <w:rStyle w:val="Style46"/>
                <w:vanish w:val="false"/>
              </w:rPr>
              <w:tab/>
              <w:t>73</w:t>
            </w:r>
            <w:r>
              <w:rPr>
                <w:webHidden/>
              </w:rPr>
              <w:fldChar w:fldCharType="end"/>
            </w:r>
          </w:hyperlink>
        </w:p>
        <w:p>
          <w:pPr>
            <w:pStyle w:val="15"/>
            <w:tabs>
              <w:tab w:val="right" w:pos="9752" w:leader="dot"/>
            </w:tabs>
            <w:rPr>
              <w:rFonts w:eastAsia="" w:eastAsiaTheme="minorEastAsia"/>
              <w:lang w:eastAsia="ru-RU"/>
            </w:rPr>
          </w:pPr>
          <w:hyperlink w:anchor="_Toc485621490">
            <w:r>
              <w:rPr>
                <w:webHidden/>
                <w:rStyle w:val="Style46"/>
                <w:rFonts w:eastAsia="Times New Roman" w:cs="Times New Roman" w:ascii="Times New Roman" w:hAnsi="Times New Roman"/>
                <w:b/>
                <w:bCs/>
                <w:smallCaps/>
                <w:vanish w:val="false"/>
                <w:color w:val="00000A"/>
                <w:lang w:bidi="ru-RU"/>
              </w:rPr>
              <w:t>ЗОНА СЕЛЬСКОХОЗЯЙСТВЕННОГО ИСПОЛЬЗОВАНИЯ</w:t>
            </w:r>
            <w:r>
              <w:rPr>
                <w:webHidden/>
              </w:rPr>
              <w:fldChar w:fldCharType="begin"/>
            </w:r>
            <w:r>
              <w:rPr>
                <w:webHidden/>
              </w:rPr>
              <w:instrText>PAGEREF _Toc485621490 \h</w:instrText>
            </w:r>
            <w:r>
              <w:rPr>
                <w:webHidden/>
              </w:rPr>
              <w:fldChar w:fldCharType="separate"/>
            </w:r>
            <w:r>
              <w:rPr>
                <w:rStyle w:val="Style46"/>
                <w:vanish w:val="false"/>
              </w:rPr>
              <w:tab/>
              <w:t>76</w:t>
            </w:r>
            <w:r>
              <w:rPr>
                <w:webHidden/>
              </w:rPr>
              <w:fldChar w:fldCharType="end"/>
            </w:r>
          </w:hyperlink>
        </w:p>
        <w:p>
          <w:pPr>
            <w:pStyle w:val="213"/>
            <w:tabs>
              <w:tab w:val="right" w:pos="9752" w:leader="dot"/>
            </w:tabs>
            <w:rPr>
              <w:rFonts w:eastAsia="" w:eastAsiaTheme="minorEastAsia"/>
              <w:lang w:eastAsia="ru-RU"/>
            </w:rPr>
          </w:pPr>
          <w:hyperlink w:anchor="_Toc485621491">
            <w:r>
              <w:rPr>
                <w:webHidden/>
                <w:rStyle w:val="Style46"/>
                <w:rFonts w:eastAsia="Times New Roman" w:cs="Times New Roman" w:ascii="Times New Roman" w:hAnsi="Times New Roman"/>
                <w:b/>
                <w:bCs/>
                <w:i/>
                <w:vanish w:val="false"/>
                <w:color w:val="00000A"/>
                <w:lang w:bidi="ru-RU"/>
              </w:rPr>
              <w:t>Статья 58. СХ-1. Зона сельскохозяйственного использования</w:t>
            </w:r>
            <w:r>
              <w:rPr>
                <w:webHidden/>
              </w:rPr>
              <w:fldChar w:fldCharType="begin"/>
            </w:r>
            <w:r>
              <w:rPr>
                <w:webHidden/>
              </w:rPr>
              <w:instrText>PAGEREF _Toc485621491 \h</w:instrText>
            </w:r>
            <w:r>
              <w:rPr>
                <w:webHidden/>
              </w:rPr>
              <w:fldChar w:fldCharType="separate"/>
            </w:r>
            <w:r>
              <w:rPr>
                <w:rStyle w:val="Style46"/>
                <w:vanish w:val="false"/>
              </w:rPr>
              <w:tab/>
              <w:t>76</w:t>
            </w:r>
            <w:r>
              <w:rPr>
                <w:webHidden/>
              </w:rPr>
              <w:fldChar w:fldCharType="end"/>
            </w:r>
          </w:hyperlink>
        </w:p>
        <w:p>
          <w:pPr>
            <w:pStyle w:val="213"/>
            <w:tabs>
              <w:tab w:val="right" w:pos="9752" w:leader="dot"/>
            </w:tabs>
            <w:rPr>
              <w:rFonts w:eastAsia="" w:eastAsiaTheme="minorEastAsia"/>
              <w:lang w:eastAsia="ru-RU"/>
            </w:rPr>
          </w:pPr>
          <w:hyperlink w:anchor="_Toc485621492">
            <w:r>
              <w:rPr>
                <w:webHidden/>
                <w:rStyle w:val="Style46"/>
                <w:rFonts w:eastAsia="Times New Roman" w:cs="Times New Roman" w:ascii="Times New Roman" w:hAnsi="Times New Roman"/>
                <w:b/>
                <w:bCs/>
                <w:i/>
                <w:vanish w:val="false"/>
                <w:color w:val="00000A"/>
                <w:lang w:bidi="ru-RU"/>
              </w:rPr>
              <w:t xml:space="preserve">Статья 59. СХ-2. </w:t>
            </w:r>
            <w:r>
              <w:rPr>
                <w:rStyle w:val="Style46"/>
                <w:rFonts w:eastAsia="Times New Roman" w:cs="Times New Roman" w:ascii="Times New Roman" w:hAnsi="Times New Roman"/>
                <w:b/>
                <w:i/>
                <w:color w:val="00000A"/>
                <w:lang w:bidi="ru-RU"/>
              </w:rPr>
              <w:t>Зона производственных и складских объектов сельскохозяйственного назначения</w:t>
            </w:r>
            <w:r>
              <w:rPr>
                <w:webHidden/>
              </w:rPr>
              <w:fldChar w:fldCharType="begin"/>
            </w:r>
            <w:r>
              <w:rPr>
                <w:webHidden/>
              </w:rPr>
              <w:instrText>PAGEREF _Toc485621492 \h</w:instrText>
            </w:r>
            <w:r>
              <w:rPr>
                <w:webHidden/>
              </w:rPr>
              <w:fldChar w:fldCharType="separate"/>
            </w:r>
            <w:r>
              <w:rPr>
                <w:rStyle w:val="Style46"/>
                <w:vanish w:val="false"/>
              </w:rPr>
              <w:tab/>
              <w:t>78</w:t>
            </w:r>
            <w:r>
              <w:rPr>
                <w:webHidden/>
              </w:rPr>
              <w:fldChar w:fldCharType="end"/>
            </w:r>
          </w:hyperlink>
        </w:p>
        <w:p>
          <w:pPr>
            <w:pStyle w:val="15"/>
            <w:tabs>
              <w:tab w:val="right" w:pos="9752" w:leader="dot"/>
            </w:tabs>
            <w:rPr>
              <w:rFonts w:eastAsia="" w:eastAsiaTheme="minorEastAsia"/>
              <w:lang w:eastAsia="ru-RU"/>
            </w:rPr>
          </w:pPr>
          <w:hyperlink w:anchor="_Toc485621493">
            <w:r>
              <w:rPr>
                <w:webHidden/>
                <w:rStyle w:val="Style46"/>
                <w:rFonts w:cs="Times New Roman" w:ascii="Times New Roman" w:hAnsi="Times New Roman"/>
                <w:b/>
                <w:vanish w:val="false"/>
                <w:color w:val="00000A"/>
              </w:rPr>
              <w:t>РАЗДЕЛ I</w:t>
            </w:r>
            <w:r>
              <w:rPr>
                <w:rStyle w:val="Style46"/>
                <w:rFonts w:cs="Times New Roman" w:ascii="Times New Roman" w:hAnsi="Times New Roman"/>
                <w:b/>
                <w:color w:val="00000A"/>
                <w:lang w:val="en-US"/>
              </w:rPr>
              <w:t>V</w:t>
            </w:r>
            <w:r>
              <w:rPr>
                <w:rStyle w:val="Style46"/>
                <w:rFonts w:cs="Times New Roman" w:ascii="Times New Roman" w:hAnsi="Times New Roman"/>
                <w:b/>
                <w:color w:val="00000A"/>
              </w:rPr>
              <w:t>. ТЕРРИТОРИИ, ДЛЯ КОТОРЫХ ГРАДОСТРОИТЕЛЬНЫЕ РЕГЛАМЕНТЫ НЕ РАСПРОСТРАНЯЮТСЯ ИЛИ ДЛЯ КОТОРЫХ ГРАДОСТРОИТЕЛЬНЫЕ РЕГЛАМЕНТЫ НЕ УСТАНАВЛИВАЮТСЯ</w:t>
            </w:r>
            <w:r>
              <w:rPr>
                <w:webHidden/>
              </w:rPr>
              <w:fldChar w:fldCharType="begin"/>
            </w:r>
            <w:r>
              <w:rPr>
                <w:webHidden/>
              </w:rPr>
              <w:instrText>PAGEREF _Toc485621493 \h</w:instrText>
            </w:r>
            <w:r>
              <w:rPr>
                <w:webHidden/>
              </w:rPr>
              <w:fldChar w:fldCharType="separate"/>
            </w:r>
            <w:r>
              <w:rPr>
                <w:rStyle w:val="Style46"/>
                <w:vanish w:val="false"/>
              </w:rPr>
              <w:tab/>
              <w:t>81</w:t>
            </w:r>
            <w:r>
              <w:rPr>
                <w:webHidden/>
              </w:rPr>
              <w:fldChar w:fldCharType="end"/>
            </w:r>
          </w:hyperlink>
        </w:p>
        <w:p>
          <w:pPr>
            <w:pStyle w:val="15"/>
            <w:tabs>
              <w:tab w:val="right" w:pos="9752" w:leader="dot"/>
            </w:tabs>
            <w:rPr>
              <w:rFonts w:eastAsia="" w:eastAsiaTheme="minorEastAsia"/>
              <w:lang w:eastAsia="ru-RU"/>
            </w:rPr>
          </w:pPr>
          <w:hyperlink w:anchor="_Toc485621494">
            <w:r>
              <w:rPr>
                <w:webHidden/>
                <w:rStyle w:val="Style46"/>
                <w:rFonts w:cs="Times New Roman" w:ascii="Times New Roman" w:hAnsi="Times New Roman"/>
                <w:b/>
                <w:vanish w:val="false"/>
                <w:color w:val="00000A"/>
              </w:rPr>
              <w:t>ГЛАВА 10. ИСПОЛЬЗОВАНИЕ ТЕРРИТОРИЙ, ДЛЯ КОТОРЫХ ГРАДОСТРОИТЕЛЬНЫЕ РЕГЛАМЕНТЫ НЕ РАСПРОСТРАНЯЮТСЯ ИЛИ ДЛЯ КОТОРЫХ ГРАДОСТРОИТЕЛЬНЫЕ РЕГЛАМЕНТЫ НЕ УСТАНАВЛИВАЮТСЯ</w:t>
            </w:r>
            <w:r>
              <w:rPr>
                <w:webHidden/>
              </w:rPr>
              <w:fldChar w:fldCharType="begin"/>
            </w:r>
            <w:r>
              <w:rPr>
                <w:webHidden/>
              </w:rPr>
              <w:instrText>PAGEREF _Toc485621494 \h</w:instrText>
            </w:r>
            <w:r>
              <w:rPr>
                <w:webHidden/>
              </w:rPr>
              <w:fldChar w:fldCharType="separate"/>
            </w:r>
            <w:r>
              <w:rPr>
                <w:rStyle w:val="Style46"/>
                <w:vanish w:val="false"/>
              </w:rPr>
              <w:tab/>
              <w:t>81</w:t>
            </w:r>
            <w:r>
              <w:rPr>
                <w:webHidden/>
              </w:rPr>
              <w:fldChar w:fldCharType="end"/>
            </w:r>
          </w:hyperlink>
        </w:p>
        <w:p>
          <w:pPr>
            <w:pStyle w:val="213"/>
            <w:tabs>
              <w:tab w:val="right" w:pos="9752" w:leader="dot"/>
            </w:tabs>
            <w:rPr>
              <w:rFonts w:eastAsia="" w:eastAsiaTheme="minorEastAsia"/>
              <w:lang w:eastAsia="ru-RU"/>
            </w:rPr>
          </w:pPr>
          <w:hyperlink w:anchor="_Toc485621495">
            <w:r>
              <w:rPr>
                <w:webHidden/>
                <w:rStyle w:val="Style46"/>
                <w:rFonts w:eastAsia="Times New Roman" w:cs="Times New Roman" w:ascii="Times New Roman" w:hAnsi="Times New Roman"/>
                <w:b/>
                <w:bCs/>
                <w:i/>
                <w:vanish w:val="false"/>
                <w:color w:val="00000A"/>
                <w:lang w:bidi="ru-RU"/>
              </w:rPr>
              <w:t>Статья 60. Территории, для которых</w:t>
            </w:r>
            <w:r>
              <w:rPr>
                <w:rStyle w:val="Style46"/>
                <w:rFonts w:cs="Times New Roman" w:ascii="Times New Roman" w:hAnsi="Times New Roman"/>
                <w:b/>
                <w:i/>
                <w:color w:val="00000A"/>
              </w:rPr>
              <w:t xml:space="preserve"> настоящими Правилами</w:t>
            </w:r>
            <w:r>
              <w:rPr>
                <w:rStyle w:val="Style46"/>
                <w:rFonts w:eastAsia="Times New Roman" w:cs="Times New Roman" w:ascii="Times New Roman" w:hAnsi="Times New Roman"/>
                <w:b/>
                <w:bCs/>
                <w:i/>
                <w:color w:val="00000A"/>
                <w:lang w:bidi="ru-RU"/>
              </w:rPr>
              <w:t xml:space="preserve"> градостроительные регламенты не распространяются</w:t>
            </w:r>
            <w:r>
              <w:rPr>
                <w:webHidden/>
              </w:rPr>
              <w:fldChar w:fldCharType="begin"/>
            </w:r>
            <w:r>
              <w:rPr>
                <w:webHidden/>
              </w:rPr>
              <w:instrText>PAGEREF _Toc485621495 \h</w:instrText>
            </w:r>
            <w:r>
              <w:rPr>
                <w:webHidden/>
              </w:rPr>
              <w:fldChar w:fldCharType="separate"/>
            </w:r>
            <w:r>
              <w:rPr>
                <w:rStyle w:val="Style46"/>
                <w:vanish w:val="false"/>
              </w:rPr>
              <w:tab/>
              <w:t>81</w:t>
            </w:r>
            <w:r>
              <w:rPr>
                <w:webHidden/>
              </w:rPr>
              <w:fldChar w:fldCharType="end"/>
            </w:r>
          </w:hyperlink>
        </w:p>
        <w:p>
          <w:pPr>
            <w:pStyle w:val="213"/>
            <w:tabs>
              <w:tab w:val="right" w:pos="9752" w:leader="dot"/>
            </w:tabs>
            <w:rPr>
              <w:rFonts w:eastAsia="" w:eastAsiaTheme="minorEastAsia"/>
              <w:lang w:eastAsia="ru-RU"/>
            </w:rPr>
          </w:pPr>
          <w:hyperlink w:anchor="_Toc485621496">
            <w:r>
              <w:rPr>
                <w:webHidden/>
                <w:rStyle w:val="Style46"/>
                <w:rFonts w:cs="Times New Roman" w:ascii="Times New Roman" w:hAnsi="Times New Roman"/>
                <w:b/>
                <w:i/>
                <w:vanish w:val="false"/>
                <w:color w:val="00000A"/>
              </w:rPr>
              <w:t>Статья 61. Территории, для которых настоящими Правилами градостроительные регламенты не устанавливаются</w:t>
            </w:r>
            <w:r>
              <w:rPr>
                <w:webHidden/>
              </w:rPr>
              <w:fldChar w:fldCharType="begin"/>
            </w:r>
            <w:r>
              <w:rPr>
                <w:webHidden/>
              </w:rPr>
              <w:instrText>PAGEREF _Toc485621496 \h</w:instrText>
            </w:r>
            <w:r>
              <w:rPr>
                <w:webHidden/>
              </w:rPr>
              <w:fldChar w:fldCharType="separate"/>
            </w:r>
            <w:r>
              <w:rPr>
                <w:rStyle w:val="Style46"/>
                <w:vanish w:val="false"/>
              </w:rPr>
              <w:tab/>
              <w:t>81</w:t>
            </w:r>
            <w:r>
              <w:rPr>
                <w:webHidden/>
              </w:rPr>
              <w:fldChar w:fldCharType="end"/>
            </w:r>
          </w:hyperlink>
        </w:p>
        <w:p>
          <w:pPr>
            <w:pStyle w:val="15"/>
            <w:tabs>
              <w:tab w:val="right" w:pos="9835" w:leader="dot"/>
            </w:tabs>
            <w:rPr/>
          </w:pPr>
          <w:hyperlink w:anchor="_Toc467766924">
            <w:r>
              <w:rPr>
                <w:webHidden/>
                <w:rStyle w:val="Style46"/>
                <w:rFonts w:cs="Times New Roman" w:ascii="Times New Roman" w:hAnsi="Times New Roman"/>
                <w:vanish w:val="false"/>
                <w:lang w:bidi="ru-RU"/>
              </w:rPr>
              <w:t>ПРИЛОЖЕНИЕ 1</w:t>
            </w:r>
            <w:r>
              <w:rPr>
                <w:webHidden/>
              </w:rPr>
              <w:fldChar w:fldCharType="begin"/>
            </w:r>
            <w:r>
              <w:rPr>
                <w:webHidden/>
              </w:rPr>
              <w:instrText>PAGEREF _Toc467766924 \h</w:instrText>
            </w:r>
            <w:r>
              <w:rPr>
                <w:webHidden/>
              </w:rPr>
              <w:fldChar w:fldCharType="separate"/>
            </w:r>
            <w:r>
              <w:rPr>
                <w:rStyle w:val="Style46"/>
                <w:vanish w:val="false"/>
              </w:rPr>
              <w:tab/>
              <w:t>154</w:t>
            </w:r>
            <w:r>
              <w:rPr>
                <w:webHidden/>
              </w:rPr>
              <w:fldChar w:fldCharType="end"/>
            </w:r>
          </w:hyperlink>
        </w:p>
        <w:p>
          <w:pPr>
            <w:pStyle w:val="213"/>
            <w:tabs>
              <w:tab w:val="right" w:pos="9835" w:leader="dot"/>
            </w:tabs>
            <w:rPr/>
          </w:pPr>
          <w:hyperlink w:anchor="_Toc467766925">
            <w:r>
              <w:rPr>
                <w:webHidden/>
                <w:rStyle w:val="Style46"/>
                <w:rFonts w:cs="Times New Roman" w:ascii="Times New Roman" w:hAnsi="Times New Roman"/>
                <w:b/>
                <w:bCs/>
                <w:vanish w:val="false"/>
              </w:rPr>
              <w:t>Об утверждении классификатора видов разрешенного использования земельных участков</w:t>
            </w:r>
            <w:r>
              <w:rPr>
                <w:webHidden/>
              </w:rPr>
              <w:fldChar w:fldCharType="begin"/>
            </w:r>
            <w:r>
              <w:rPr>
                <w:webHidden/>
              </w:rPr>
              <w:instrText>PAGEREF _Toc467766925 \h</w:instrText>
            </w:r>
            <w:r>
              <w:rPr>
                <w:webHidden/>
              </w:rPr>
              <w:fldChar w:fldCharType="separate"/>
            </w:r>
            <w:r>
              <w:rPr>
                <w:rStyle w:val="Style46"/>
                <w:vanish w:val="false"/>
              </w:rPr>
              <w:tab/>
              <w:t>154</w:t>
            </w:r>
            <w:r>
              <w:rPr>
                <w:webHidden/>
              </w:rPr>
              <w:fldChar w:fldCharType="end"/>
            </w:r>
          </w:hyperlink>
        </w:p>
        <w:p>
          <w:pPr>
            <w:pStyle w:val="213"/>
            <w:tabs>
              <w:tab w:val="right" w:pos="9752" w:leader="dot"/>
            </w:tabs>
            <w:ind w:left="220" w:hanging="0"/>
            <w:rPr/>
          </w:pPr>
          <w:hyperlink w:anchor="_Toc467766924">
            <w:r>
              <w:rPr>
                <w:webHidden/>
                <w:rStyle w:val="Style46"/>
                <w:rFonts w:cs="Times New Roman" w:ascii="Times New Roman" w:hAnsi="Times New Roman"/>
                <w:b/>
                <w:i/>
                <w:vanish w:val="false"/>
                <w:color w:val="00000A"/>
                <w:lang w:bidi="ru-RU"/>
              </w:rPr>
              <w:t>ПРИЛОЖЕНИЕ 2 ПРАВИЛА ИСПОЛЬЗОВАНИЯ ЗЕМЕЛЬНЫХ УЧАСТКОВ В ГРАНИЦАХ ВСЕСЕЗОННОГО ТУРИСТСКО-РЕКРЕАЦИОННОГО КОМПЛЕКСА «АРХЫЗ»</w:t>
            </w:r>
            <w:r>
              <w:rPr>
                <w:rStyle w:val="Style46"/>
                <w:rFonts w:cs="Times New Roman" w:ascii="Times New Roman" w:hAnsi="Times New Roman"/>
                <w:b/>
                <w:i/>
                <w:vanish w:val="false"/>
                <w:color w:val="00000A"/>
              </w:rPr>
              <w:tab/>
              <w:t>186</w:t>
            </w:r>
          </w:hyperlink>
          <w:hyperlink w:anchor="_Toc485621497">
            <w:r>
              <w:rPr>
                <w:webHidden/>
              </w:rPr>
              <w:fldChar w:fldCharType="begin"/>
            </w:r>
            <w:r>
              <w:rPr>
                <w:webHidden/>
              </w:rPr>
              <w:instrText>PAGEREF _Toc485621497 \h</w:instrText>
            </w:r>
            <w:r>
              <w:rPr>
                <w:webHidden/>
              </w:rPr>
              <w:fldChar w:fldCharType="separate"/>
            </w:r>
            <w:r>
              <w:rPr>
                <w:webHidden/>
                <w:rStyle w:val="Style46"/>
                <w:vanish w:val="false"/>
              </w:rPr>
              <w:tab/>
            </w:r>
            <w:r>
              <w:rPr>
                <w:webHidden/>
              </w:rPr>
              <w:fldChar w:fldCharType="end"/>
            </w:r>
          </w:hyperlink>
        </w:p>
        <w:p>
          <w:pPr>
            <w:pStyle w:val="Normal"/>
            <w:rPr>
              <w:sz w:val="24"/>
              <w:szCs w:val="24"/>
            </w:rPr>
          </w:pPr>
          <w:r>
            <w:rPr>
              <w:sz w:val="24"/>
              <w:szCs w:val="24"/>
            </w:rPr>
          </w:r>
          <w:r>
            <w:fldChar w:fldCharType="end"/>
          </w:r>
        </w:p>
      </w:sdtContent>
    </w:sdt>
    <w:p>
      <w:pPr>
        <w:pStyle w:val="Normal"/>
        <w:rPr>
          <w:rFonts w:ascii="Calibri Light" w:hAnsi="Calibri Light" w:eastAsia="" w:cs="" w:asciiTheme="majorHAnsi" w:cstheme="majorBidi" w:eastAsiaTheme="majorEastAsia" w:hAnsiTheme="majorHAnsi"/>
          <w:sz w:val="24"/>
          <w:szCs w:val="24"/>
        </w:rPr>
      </w:pPr>
      <w:r>
        <w:rPr>
          <w:rFonts w:eastAsia="" w:cs="" w:cstheme="majorBidi" w:eastAsiaTheme="majorEastAsia" w:ascii="Calibri Light" w:hAnsi="Calibri Light"/>
          <w:sz w:val="24"/>
          <w:szCs w:val="24"/>
        </w:rPr>
      </w:r>
      <w:r>
        <w:br w:type="page"/>
      </w:r>
    </w:p>
    <w:p>
      <w:pPr>
        <w:pStyle w:val="1"/>
        <w:jc w:val="center"/>
        <w:rPr>
          <w:rFonts w:ascii="Times New Roman" w:hAnsi="Times New Roman" w:cs="Times New Roman"/>
          <w:b/>
          <w:b/>
          <w:color w:val="00000A"/>
          <w:sz w:val="24"/>
          <w:szCs w:val="24"/>
        </w:rPr>
      </w:pPr>
      <w:bookmarkStart w:id="1" w:name="_Toc485621408"/>
      <w:bookmarkEnd w:id="1"/>
      <w:r>
        <w:rPr>
          <w:rFonts w:cs="Times New Roman" w:ascii="Times New Roman" w:hAnsi="Times New Roman"/>
          <w:b/>
          <w:color w:val="00000A"/>
          <w:sz w:val="24"/>
          <w:szCs w:val="24"/>
        </w:rPr>
        <w:t>ВВЕДЕНИЕ</w:t>
      </w:r>
    </w:p>
    <w:p>
      <w:pPr>
        <w:pStyle w:val="Default"/>
        <w:ind w:firstLine="709"/>
        <w:jc w:val="both"/>
        <w:rPr>
          <w:color w:val="00000A"/>
        </w:rPr>
      </w:pPr>
      <w:r>
        <w:rPr>
          <w:color w:val="00000A"/>
        </w:rPr>
        <w:t xml:space="preserve">Правила землепользования и застройки Загеданского сельского поселения Урупского муниципального района Карачаево-Черкесской Республики (далее - Правила, настоящие Правила) являются документом градостроительного зонирования, который утверждается нормативным правовым актом органа местного самоуправления, принятым в соответствии с Градостроительным кодексом Российской Федерации, Земельным кодексом Российской Федерации, Федеральным законом от 06.10.2003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законами и иными нормативными правовыми актами Карачаево-Черкесской Республики и сельского поселения. </w:t>
      </w:r>
    </w:p>
    <w:p>
      <w:pPr>
        <w:pStyle w:val="Default"/>
        <w:ind w:firstLine="709"/>
        <w:jc w:val="both"/>
        <w:rPr>
          <w:color w:val="00000A"/>
        </w:rPr>
      </w:pPr>
      <w:r>
        <w:rPr>
          <w:color w:val="00000A"/>
        </w:rPr>
        <w:t xml:space="preserve">Правила подготовлены применительно ко всей территории сельского поселения. </w:t>
      </w:r>
    </w:p>
    <w:p>
      <w:pPr>
        <w:pStyle w:val="Default"/>
        <w:ind w:firstLine="709"/>
        <w:jc w:val="both"/>
        <w:rPr>
          <w:color w:val="00000A"/>
        </w:rPr>
      </w:pPr>
      <w:r>
        <w:rPr>
          <w:color w:val="00000A"/>
        </w:rPr>
        <w:t xml:space="preserve">Правила включают в себя: </w:t>
      </w:r>
    </w:p>
    <w:p>
      <w:pPr>
        <w:pStyle w:val="Default"/>
        <w:ind w:firstLine="709"/>
        <w:jc w:val="both"/>
        <w:rPr>
          <w:color w:val="00000A"/>
        </w:rPr>
      </w:pPr>
      <w:r>
        <w:rPr>
          <w:color w:val="00000A"/>
        </w:rPr>
        <w:t xml:space="preserve">1) порядок применения Правил и внесения в них изменений; </w:t>
      </w:r>
    </w:p>
    <w:p>
      <w:pPr>
        <w:pStyle w:val="Default"/>
        <w:ind w:firstLine="709"/>
        <w:jc w:val="both"/>
        <w:rPr>
          <w:color w:val="00000A"/>
        </w:rPr>
      </w:pPr>
      <w:r>
        <w:rPr>
          <w:color w:val="00000A"/>
        </w:rPr>
        <w:t xml:space="preserve">2) карту градостроительного зонирования; </w:t>
      </w:r>
    </w:p>
    <w:p>
      <w:pPr>
        <w:pStyle w:val="Default"/>
        <w:ind w:firstLine="709"/>
        <w:jc w:val="both"/>
        <w:rPr>
          <w:color w:val="00000A"/>
        </w:rPr>
      </w:pPr>
      <w:r>
        <w:rPr>
          <w:color w:val="00000A"/>
        </w:rPr>
        <w:t xml:space="preserve">3) карту зон с особыми условиями использования территорий; </w:t>
      </w:r>
    </w:p>
    <w:p>
      <w:pPr>
        <w:pStyle w:val="Default"/>
        <w:ind w:firstLine="709"/>
        <w:jc w:val="both"/>
        <w:rPr>
          <w:color w:val="00000A"/>
        </w:rPr>
      </w:pPr>
      <w:r>
        <w:rPr>
          <w:color w:val="00000A"/>
        </w:rPr>
        <w:t xml:space="preserve">4) градостроительные регламенты. </w:t>
      </w:r>
    </w:p>
    <w:p>
      <w:pPr>
        <w:pStyle w:val="Default"/>
        <w:ind w:firstLine="709"/>
        <w:jc w:val="both"/>
        <w:rPr>
          <w:color w:val="00000A"/>
        </w:rPr>
      </w:pPr>
      <w:r>
        <w:rPr>
          <w:color w:val="00000A"/>
        </w:rPr>
        <w:t xml:space="preserve">Правила являются результатом градостроительного зонирования территории сельского поселения - разделения его на территориальные зоны с установлением для каждой из них градостроительных регламентов. </w:t>
      </w:r>
    </w:p>
    <w:p>
      <w:pPr>
        <w:pStyle w:val="Default"/>
        <w:ind w:firstLine="709"/>
        <w:jc w:val="both"/>
        <w:rPr>
          <w:color w:val="00000A"/>
        </w:rPr>
      </w:pPr>
      <w:r>
        <w:rPr>
          <w:color w:val="00000A"/>
        </w:rPr>
        <w:t xml:space="preserve">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указаны: </w:t>
      </w:r>
    </w:p>
    <w:p>
      <w:pPr>
        <w:pStyle w:val="Default"/>
        <w:ind w:firstLine="709"/>
        <w:jc w:val="both"/>
        <w:rPr>
          <w:color w:val="00000A"/>
        </w:rPr>
      </w:pPr>
      <w:r>
        <w:rPr>
          <w:color w:val="00000A"/>
        </w:rPr>
        <w:t xml:space="preserve">1) виды разрешённого использования земельных участков и объектов капитального строительства; </w:t>
      </w:r>
    </w:p>
    <w:p>
      <w:pPr>
        <w:pStyle w:val="Default"/>
        <w:ind w:firstLine="709"/>
        <w:jc w:val="both"/>
        <w:rPr>
          <w:color w:val="00000A"/>
        </w:rPr>
      </w:pPr>
      <w:r>
        <w:rPr>
          <w:color w:val="00000A"/>
        </w:rPr>
        <w:t xml:space="preserve">2)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 </w:t>
      </w:r>
    </w:p>
    <w:p>
      <w:pPr>
        <w:pStyle w:val="Default"/>
        <w:ind w:firstLine="709"/>
        <w:jc w:val="both"/>
        <w:rPr>
          <w:color w:val="00000A"/>
        </w:rPr>
      </w:pPr>
      <w:r>
        <w:rPr>
          <w:color w:val="00000A"/>
        </w:rPr>
        <w:t xml:space="preserve">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w:t>
      </w:r>
    </w:p>
    <w:p>
      <w:pPr>
        <w:pStyle w:val="Default"/>
        <w:ind w:firstLine="709"/>
        <w:jc w:val="both"/>
        <w:rPr>
          <w:color w:val="00000A"/>
        </w:rPr>
      </w:pPr>
      <w:r>
        <w:rPr>
          <w:color w:val="00000A"/>
        </w:rPr>
        <w:t xml:space="preserve">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w:t>
      </w:r>
    </w:p>
    <w:p>
      <w:pPr>
        <w:pStyle w:val="Default"/>
        <w:ind w:firstLine="709"/>
        <w:jc w:val="both"/>
        <w:rPr>
          <w:color w:val="00000A"/>
        </w:rPr>
      </w:pPr>
      <w:r>
        <w:rPr>
          <w:color w:val="00000A"/>
        </w:rPr>
        <w:t xml:space="preserve">Градостроительные регламенты Правил обязательны для исполнения всеми собственниками земельных участков, землепользователями, землевладельцами и арендаторами земельных участков независимо от форм собственности и иных прав на земельные участки. </w:t>
      </w:r>
    </w:p>
    <w:p>
      <w:pPr>
        <w:pStyle w:val="Default"/>
        <w:ind w:firstLine="709"/>
        <w:jc w:val="both"/>
        <w:rPr>
          <w:color w:val="00000A"/>
        </w:rPr>
      </w:pPr>
      <w:r>
        <w:rPr>
          <w:color w:val="00000A"/>
        </w:rPr>
        <w:t xml:space="preserve">Основные виды разрешённого использования земельных участков и объектов капитального строительства установлены применительно к каждой территориальной зоне, в отношении которой устанавливается градостроительный регламент. </w:t>
      </w:r>
    </w:p>
    <w:p>
      <w:pPr>
        <w:pStyle w:val="Default"/>
        <w:ind w:firstLine="709"/>
        <w:jc w:val="both"/>
        <w:rPr>
          <w:color w:val="00000A"/>
        </w:rPr>
      </w:pPr>
      <w:r>
        <w:rPr>
          <w:color w:val="00000A"/>
        </w:rPr>
        <w:t xml:space="preserve">Подготовка Правил осуществлялась с учётом положений о территориальном планировании, содержащихся в документах территориального планирования, с учётом требований технических регламентов, результатов публичных слушаний и предложений заинтересованных лиц. </w:t>
      </w:r>
    </w:p>
    <w:p>
      <w:pPr>
        <w:pStyle w:val="Default"/>
        <w:ind w:firstLine="709"/>
        <w:jc w:val="both"/>
        <w:rPr>
          <w:color w:val="00000A"/>
        </w:rPr>
      </w:pPr>
      <w:r>
        <w:rPr>
          <w:color w:val="00000A"/>
        </w:rPr>
        <w:t>При подготовке Правил в части установления границ территориальных зон и градостроительных регламентов обеспечена возможность размещения на территории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pPr>
        <w:pStyle w:val="1"/>
        <w:jc w:val="both"/>
        <w:rPr>
          <w:rFonts w:ascii="Times New Roman" w:hAnsi="Times New Roman" w:cs="Times New Roman"/>
          <w:b/>
          <w:b/>
          <w:color w:val="00000A"/>
          <w:sz w:val="24"/>
          <w:szCs w:val="24"/>
        </w:rPr>
      </w:pPr>
      <w:bookmarkStart w:id="2" w:name="_Toc485621409"/>
      <w:bookmarkEnd w:id="2"/>
      <w:r>
        <w:rPr>
          <w:rFonts w:cs="Times New Roman" w:ascii="Times New Roman" w:hAnsi="Times New Roman"/>
          <w:b/>
          <w:color w:val="00000A"/>
          <w:sz w:val="24"/>
          <w:szCs w:val="24"/>
        </w:rPr>
        <w:t>РАЗДЕЛ I. ПОРЯДОК ПРИМЕНЕНИЯ ПРАВИЛ ЗЕМЛЕПОЛЬЗОВАНИЯ И ЗАСТРОЙКИ И ВНЕСЕНИЯ ИЗМЕНЕНИЙ В УКАЗАННЫЕ ПРАВИЛА</w:t>
      </w:r>
    </w:p>
    <w:p>
      <w:pPr>
        <w:pStyle w:val="1"/>
        <w:rPr>
          <w:rFonts w:ascii="Times New Roman" w:hAnsi="Times New Roman" w:cs="Times New Roman"/>
          <w:b/>
          <w:b/>
          <w:color w:val="00000A"/>
          <w:sz w:val="24"/>
          <w:szCs w:val="24"/>
        </w:rPr>
      </w:pPr>
      <w:bookmarkStart w:id="3" w:name="_Toc485621410"/>
      <w:r>
        <w:rPr>
          <w:rFonts w:cs="Times New Roman" w:ascii="Times New Roman" w:hAnsi="Times New Roman"/>
          <w:b/>
          <w:color w:val="00000A"/>
          <w:sz w:val="24"/>
          <w:szCs w:val="24"/>
        </w:rPr>
        <w:t>ГЛАВА 1. ОБЩИЕ ПОЛОЖЕНИЯ</w:t>
      </w:r>
      <w:bookmarkEnd w:id="3"/>
      <w:r>
        <w:rPr>
          <w:rFonts w:cs="Times New Roman" w:ascii="Times New Roman" w:hAnsi="Times New Roman"/>
          <w:b/>
          <w:color w:val="00000A"/>
          <w:sz w:val="24"/>
          <w:szCs w:val="24"/>
        </w:rPr>
        <w:t xml:space="preserve"> </w:t>
      </w:r>
    </w:p>
    <w:p>
      <w:pPr>
        <w:pStyle w:val="2"/>
        <w:jc w:val="both"/>
        <w:rPr>
          <w:rFonts w:ascii="Times New Roman" w:hAnsi="Times New Roman" w:cs="Times New Roman"/>
          <w:b/>
          <w:b/>
          <w:i/>
          <w:i/>
          <w:color w:val="00000A"/>
          <w:sz w:val="24"/>
          <w:szCs w:val="24"/>
        </w:rPr>
      </w:pPr>
      <w:bookmarkStart w:id="4" w:name="_Toc485621411"/>
      <w:r>
        <w:rPr>
          <w:rFonts w:cs="Times New Roman" w:ascii="Times New Roman" w:hAnsi="Times New Roman"/>
          <w:b/>
          <w:i/>
          <w:color w:val="00000A"/>
          <w:sz w:val="24"/>
          <w:szCs w:val="24"/>
        </w:rPr>
        <w:t>Статья 1. Основные понятия, используемые в Правилах землепользования и застройки</w:t>
      </w:r>
      <w:bookmarkEnd w:id="4"/>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В настоящих Правилах используются следующие понятия: </w:t>
      </w:r>
    </w:p>
    <w:p>
      <w:pPr>
        <w:pStyle w:val="Default"/>
        <w:ind w:firstLine="709"/>
        <w:jc w:val="both"/>
        <w:rPr>
          <w:color w:val="00000A"/>
        </w:rPr>
      </w:pPr>
      <w:r>
        <w:rPr>
          <w:color w:val="00000A"/>
        </w:rPr>
        <w:t xml:space="preserve">- </w:t>
      </w:r>
      <w:r>
        <w:rPr>
          <w:i/>
          <w:iCs/>
          <w:color w:val="00000A"/>
        </w:rPr>
        <w:t xml:space="preserve">градостроительная деятельность: </w:t>
      </w:r>
    </w:p>
    <w:p>
      <w:pPr>
        <w:pStyle w:val="Default"/>
        <w:ind w:firstLine="709"/>
        <w:jc w:val="both"/>
        <w:rPr>
          <w:color w:val="00000A"/>
        </w:rPr>
      </w:pPr>
      <w:r>
        <w:rPr>
          <w:b/>
          <w:bCs/>
          <w:color w:val="00000A"/>
        </w:rPr>
        <w:t xml:space="preserve">вспомогательные виды разрешённого использования земельных участков и объектов капитального строительства </w:t>
      </w:r>
      <w:r>
        <w:rPr>
          <w:color w:val="00000A"/>
        </w:rPr>
        <w:t xml:space="preserve">- виды деятельности, а также объекты, осуществлять и размещать которые на земельных участках разрешено в силу наименования этих видов деятельности и объектов в составе градостроительных регламентов применительно к соответствующим территориальным зонам при том, что такие виды деятельности, объекты допустимы только в качестве дополнительных по отношению к основным видам разрешённого использования земельных участков и объектов капитального строительства и условно разрешённым видам использования земельных участков и объектов капитального строительства и осуществляются только совместно с ними;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b/>
          <w:bCs/>
          <w:sz w:val="24"/>
          <w:szCs w:val="24"/>
        </w:rPr>
        <w:t xml:space="preserve">градостроительная деятельность </w:t>
      </w:r>
      <w:r>
        <w:rPr>
          <w:rFonts w:cs="Times New Roman" w:ascii="Times New Roman" w:hAnsi="Times New Roman"/>
          <w:sz w:val="24"/>
          <w:szCs w:val="24"/>
        </w:rPr>
        <w:t xml:space="preserve">- деятельность по развитию территорий поселения,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объектов капитального строительства, эксплуатации зданий, сооружений; </w:t>
      </w:r>
    </w:p>
    <w:p>
      <w:pPr>
        <w:pStyle w:val="Default"/>
        <w:ind w:firstLine="709"/>
        <w:jc w:val="both"/>
        <w:rPr>
          <w:color w:val="00000A"/>
        </w:rPr>
      </w:pPr>
      <w:r>
        <w:rPr>
          <w:b/>
          <w:bCs/>
          <w:color w:val="00000A"/>
        </w:rPr>
        <w:t xml:space="preserve">градостроительное зонирование </w:t>
      </w:r>
      <w:r>
        <w:rPr>
          <w:color w:val="00000A"/>
        </w:rPr>
        <w:t xml:space="preserve">- зонирование территорий муниципальных образований в целях определения территориальных зон и установления градостроительных регламентов; </w:t>
      </w:r>
    </w:p>
    <w:p>
      <w:pPr>
        <w:pStyle w:val="Default"/>
        <w:ind w:firstLine="709"/>
        <w:jc w:val="both"/>
        <w:rPr>
          <w:color w:val="00000A"/>
        </w:rPr>
      </w:pPr>
      <w:r>
        <w:rPr>
          <w:b/>
          <w:bCs/>
          <w:color w:val="00000A"/>
        </w:rPr>
        <w:t xml:space="preserve">градостроительный регламент </w:t>
      </w:r>
      <w:r>
        <w:rPr>
          <w:color w:val="00000A"/>
        </w:rPr>
        <w:t xml:space="preserve">- устанавливаемые в пределах границ соответствующей территориальной зоны виды разрешённого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w:t>
      </w:r>
    </w:p>
    <w:p>
      <w:pPr>
        <w:pStyle w:val="Default"/>
        <w:ind w:firstLine="709"/>
        <w:jc w:val="both"/>
        <w:rPr>
          <w:color w:val="00000A"/>
        </w:rPr>
      </w:pPr>
      <w:r>
        <w:rPr>
          <w:b/>
          <w:bCs/>
          <w:color w:val="00000A"/>
        </w:rPr>
        <w:t xml:space="preserve">документация по планировке территории </w:t>
      </w:r>
      <w:r>
        <w:rPr>
          <w:color w:val="00000A"/>
        </w:rPr>
        <w:t xml:space="preserve">- документация, предусматривающая выделение элементов планировочной структуры, установление параметров планируемого развития элементов планировочной структуры, установление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 </w:t>
      </w:r>
    </w:p>
    <w:p>
      <w:pPr>
        <w:pStyle w:val="Default"/>
        <w:ind w:firstLine="709"/>
        <w:jc w:val="both"/>
        <w:rPr>
          <w:color w:val="00000A"/>
        </w:rPr>
      </w:pPr>
      <w:r>
        <w:rPr>
          <w:b/>
          <w:bCs/>
          <w:color w:val="00000A"/>
        </w:rPr>
        <w:t xml:space="preserve">основные виды разрешённого использования земельных участков и объектов капитального строительства </w:t>
      </w:r>
      <w:r>
        <w:rPr>
          <w:color w:val="00000A"/>
        </w:rPr>
        <w:t xml:space="preserve">- виды деятельности, а также объекты, осуществлять и размещать которые на земельных участках разрешено в силу наименования этих видов деятельности и объектов в составе градостроительных регламентов применительно к соответствующим территориальным зонам при том, что выбор таких видов деятельности и объектов осуществляется правообладателями земельных участков и объектов капитального строительства самостоятельно (без дополнительных разрешений и согласований) при условии соблюдения требований технических регламентов. За исключением случаев, предусмотренных законодательством Российской Федерации; </w:t>
      </w:r>
    </w:p>
    <w:p>
      <w:pPr>
        <w:pStyle w:val="Default"/>
        <w:ind w:firstLine="709"/>
        <w:jc w:val="both"/>
        <w:rPr>
          <w:color w:val="00000A"/>
        </w:rPr>
      </w:pPr>
      <w:r>
        <w:rPr>
          <w:b/>
          <w:bCs/>
          <w:color w:val="00000A"/>
        </w:rPr>
        <w:t xml:space="preserve">правила землепользования и застройки </w:t>
      </w:r>
      <w:r>
        <w:rPr>
          <w:color w:val="00000A"/>
        </w:rPr>
        <w:t xml:space="preserve">- документ градостроительного зонирования, который утверждается нормативными правовыми актами органов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 </w:t>
      </w:r>
    </w:p>
    <w:p>
      <w:pPr>
        <w:pStyle w:val="Default"/>
        <w:ind w:firstLine="709"/>
        <w:jc w:val="both"/>
        <w:rPr>
          <w:color w:val="00000A"/>
        </w:rPr>
      </w:pPr>
      <w:r>
        <w:rPr>
          <w:b/>
          <w:bCs/>
          <w:color w:val="00000A"/>
        </w:rPr>
        <w:t xml:space="preserve">разрешённое использование земельных участков и объектов капитального строительства </w:t>
      </w:r>
      <w:r>
        <w:rPr>
          <w:color w:val="00000A"/>
        </w:rPr>
        <w:t xml:space="preserve">- использование земельных участков и объектов капитального строительства в соответствии с градостроительным регламентом, ограничениями на использование земельных участков и объектов капитального строительства, установленными в соответствии с законодательством Российской Федерации, а также публичными сервитутами; </w:t>
      </w:r>
    </w:p>
    <w:p>
      <w:pPr>
        <w:pStyle w:val="Default"/>
        <w:ind w:firstLine="709"/>
        <w:jc w:val="both"/>
        <w:rPr>
          <w:color w:val="00000A"/>
        </w:rPr>
      </w:pPr>
      <w:r>
        <w:rPr>
          <w:b/>
          <w:bCs/>
          <w:color w:val="00000A"/>
        </w:rPr>
        <w:t xml:space="preserve">территориальные зоны </w:t>
      </w:r>
      <w:r>
        <w:rPr>
          <w:color w:val="00000A"/>
        </w:rPr>
        <w:t xml:space="preserve">- зоны, для которых в правилах землепользования и застройки определены границы и установлены градостроительные регламенты; </w:t>
      </w:r>
    </w:p>
    <w:p>
      <w:pPr>
        <w:pStyle w:val="Default"/>
        <w:ind w:firstLine="709"/>
        <w:jc w:val="both"/>
        <w:rPr>
          <w:color w:val="00000A"/>
        </w:rPr>
      </w:pPr>
      <w:r>
        <w:rPr>
          <w:b/>
          <w:bCs/>
          <w:color w:val="00000A"/>
        </w:rPr>
        <w:t xml:space="preserve">условно разрешённые виды использования земельных участков и объектов капитального строительства </w:t>
      </w:r>
      <w:r>
        <w:rPr>
          <w:color w:val="00000A"/>
        </w:rPr>
        <w:t xml:space="preserve">- виды деятельности, а также объекты, осуществлять и размещать которые на земельных участках разрешено в силу наименования этих видов деятельности и объектов в составе градостроительных регламентов применительно к соответствующим территориальным зонам при условии получения разрешения в порядке, определённом ст.39 Градостроительного кодекса Российской Федерации и </w:t>
      </w:r>
      <w:r>
        <w:rPr>
          <w:b/>
          <w:bCs/>
          <w:color w:val="00000A"/>
        </w:rPr>
        <w:t>ст.30 настоящих Правил</w:t>
      </w:r>
      <w:r>
        <w:rPr>
          <w:color w:val="00000A"/>
        </w:rPr>
        <w:t xml:space="preserve">, и обязательного соблюдения требований технических регламентов; </w:t>
      </w:r>
    </w:p>
    <w:p>
      <w:pPr>
        <w:pStyle w:val="Default"/>
        <w:ind w:firstLine="709"/>
        <w:jc w:val="both"/>
        <w:rPr>
          <w:color w:val="00000A"/>
        </w:rPr>
      </w:pPr>
      <w:r>
        <w:rPr>
          <w:b/>
          <w:bCs/>
          <w:color w:val="00000A"/>
        </w:rPr>
        <w:t xml:space="preserve">устойчивое развитие территорий </w:t>
      </w:r>
      <w:r>
        <w:rPr>
          <w:color w:val="00000A"/>
        </w:rPr>
        <w:t xml:space="preserve">-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 </w:t>
      </w:r>
    </w:p>
    <w:p>
      <w:pPr>
        <w:pStyle w:val="Default"/>
        <w:ind w:firstLine="709"/>
        <w:jc w:val="both"/>
        <w:rPr>
          <w:color w:val="00000A"/>
        </w:rPr>
      </w:pPr>
      <w:r>
        <w:rPr>
          <w:color w:val="00000A"/>
        </w:rPr>
        <w:t xml:space="preserve">- </w:t>
      </w:r>
      <w:r>
        <w:rPr>
          <w:i/>
          <w:iCs/>
          <w:color w:val="00000A"/>
        </w:rPr>
        <w:t xml:space="preserve">параметры разрешённого строительства: </w:t>
      </w:r>
    </w:p>
    <w:p>
      <w:pPr>
        <w:pStyle w:val="Default"/>
        <w:ind w:firstLine="709"/>
        <w:jc w:val="both"/>
        <w:rPr>
          <w:color w:val="00000A"/>
        </w:rPr>
      </w:pPr>
      <w:r>
        <w:rPr>
          <w:b/>
          <w:bCs/>
          <w:color w:val="00000A"/>
        </w:rPr>
        <w:t xml:space="preserve">высота зданий, строений, сооружений </w:t>
      </w:r>
      <w:r>
        <w:rPr>
          <w:color w:val="00000A"/>
        </w:rPr>
        <w:t xml:space="preserve">-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архитектурно-композиционном решении объекта в окружающей среде (крышные антенны, молниеотводы и другие инженерные устройства не учитываются); </w:t>
      </w:r>
    </w:p>
    <w:p>
      <w:pPr>
        <w:pStyle w:val="Default"/>
        <w:ind w:firstLine="709"/>
        <w:jc w:val="both"/>
        <w:rPr>
          <w:color w:val="00000A"/>
        </w:rPr>
      </w:pPr>
      <w:r>
        <w:rPr>
          <w:b/>
          <w:bCs/>
          <w:color w:val="00000A"/>
        </w:rPr>
        <w:t xml:space="preserve">коэффициент плотности застройки </w:t>
      </w:r>
      <w:r>
        <w:rPr>
          <w:color w:val="00000A"/>
        </w:rPr>
        <w:t xml:space="preserve">- отношение площади всех этажей зданий и сооружений к площади участка (квартала); </w:t>
      </w:r>
    </w:p>
    <w:p>
      <w:pPr>
        <w:pStyle w:val="Default"/>
        <w:ind w:firstLine="709"/>
        <w:jc w:val="both"/>
        <w:rPr>
          <w:color w:val="00000A"/>
        </w:rPr>
      </w:pPr>
      <w:r>
        <w:rPr>
          <w:b/>
          <w:bCs/>
          <w:color w:val="00000A"/>
        </w:rPr>
        <w:t xml:space="preserve">максимальный процент застройки в границах земельного участка </w:t>
      </w:r>
      <w:r>
        <w:rPr>
          <w:color w:val="00000A"/>
        </w:rPr>
        <w:t xml:space="preserve">- определяется как отношение суммарной площади земельного участка, которая может быть застроена, ко всей площади земельного участка; </w:t>
      </w:r>
    </w:p>
    <w:p>
      <w:pPr>
        <w:pStyle w:val="Default"/>
        <w:ind w:firstLine="709"/>
        <w:jc w:val="both"/>
        <w:rPr>
          <w:color w:val="00000A"/>
        </w:rPr>
      </w:pPr>
      <w:r>
        <w:rPr>
          <w:b/>
          <w:bCs/>
          <w:color w:val="00000A"/>
        </w:rPr>
        <w:t xml:space="preserve">этажность зданий, строений и сооружений </w:t>
      </w:r>
      <w:r>
        <w:rPr>
          <w:color w:val="00000A"/>
        </w:rPr>
        <w:t xml:space="preserve">- количество этажей, определяемое как сумма наземных этажей (в том числе мансардных) и цокольного этажа (в случае если верх его перекрытия возвышается над уровнем тротуара или отмостки не менее чем на два метра); </w:t>
      </w:r>
    </w:p>
    <w:p>
      <w:pPr>
        <w:pStyle w:val="Default"/>
        <w:ind w:firstLine="709"/>
        <w:jc w:val="both"/>
        <w:rPr>
          <w:color w:val="00000A"/>
        </w:rPr>
      </w:pPr>
      <w:r>
        <w:rPr>
          <w:color w:val="00000A"/>
        </w:rPr>
        <w:t xml:space="preserve">- </w:t>
      </w:r>
      <w:r>
        <w:rPr>
          <w:i/>
          <w:iCs/>
          <w:color w:val="00000A"/>
        </w:rPr>
        <w:t xml:space="preserve">регулирование застройки: </w:t>
      </w:r>
    </w:p>
    <w:p>
      <w:pPr>
        <w:pStyle w:val="Default"/>
        <w:ind w:firstLine="709"/>
        <w:jc w:val="both"/>
        <w:rPr>
          <w:color w:val="00000A"/>
        </w:rPr>
      </w:pPr>
      <w:r>
        <w:rPr>
          <w:b/>
          <w:bCs/>
          <w:color w:val="00000A"/>
        </w:rPr>
        <w:t xml:space="preserve">затеснённая застройка </w:t>
      </w:r>
      <w:r>
        <w:rPr>
          <w:color w:val="00000A"/>
        </w:rPr>
        <w:t xml:space="preserve">- застройка территории ниже нормируемой или участок менее нормируемого; </w:t>
      </w:r>
    </w:p>
    <w:p>
      <w:pPr>
        <w:pStyle w:val="Default"/>
        <w:ind w:firstLine="709"/>
        <w:jc w:val="both"/>
        <w:rPr>
          <w:color w:val="00000A"/>
        </w:rPr>
      </w:pPr>
      <w:r>
        <w:rPr>
          <w:b/>
          <w:bCs/>
          <w:color w:val="00000A"/>
        </w:rPr>
        <w:t xml:space="preserve">коэффициент застройки </w:t>
      </w:r>
      <w:r>
        <w:rPr>
          <w:color w:val="00000A"/>
        </w:rPr>
        <w:t xml:space="preserve">- отношение площади, занятой под зданиями и сооружениями, к площади участка (квартала); </w:t>
      </w:r>
    </w:p>
    <w:p>
      <w:pPr>
        <w:pStyle w:val="Default"/>
        <w:ind w:firstLine="709"/>
        <w:jc w:val="both"/>
        <w:rPr>
          <w:color w:val="00000A"/>
        </w:rPr>
      </w:pPr>
      <w:r>
        <w:rPr>
          <w:b/>
          <w:bCs/>
          <w:color w:val="00000A"/>
        </w:rPr>
        <w:t xml:space="preserve">красные линии </w:t>
      </w:r>
      <w:r>
        <w:rPr>
          <w:color w:val="00000A"/>
        </w:rPr>
        <w:t xml:space="preserve">- линии, которые обозначают существующие, планируемые (изменяемые, вновь образуемые) границы территорий общего пользования, границы земельных участков, на которых расположены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 </w:t>
      </w:r>
    </w:p>
    <w:p>
      <w:pPr>
        <w:pStyle w:val="Default"/>
        <w:ind w:firstLine="709"/>
        <w:jc w:val="both"/>
        <w:rPr>
          <w:color w:val="00000A"/>
        </w:rPr>
      </w:pPr>
      <w:r>
        <w:rPr>
          <w:b/>
          <w:bCs/>
          <w:color w:val="00000A"/>
        </w:rPr>
        <w:t xml:space="preserve">линия регулирования застройки (линия застройки) </w:t>
      </w:r>
      <w:r>
        <w:rPr>
          <w:color w:val="00000A"/>
        </w:rPr>
        <w:t xml:space="preserve">- граница застройки, устанавливаемая при размещении зданий, строений и сооружений, с отступом от красной линии или от границ земельного участка; </w:t>
      </w:r>
    </w:p>
    <w:p>
      <w:pPr>
        <w:pStyle w:val="Default"/>
        <w:ind w:firstLine="709"/>
        <w:jc w:val="both"/>
        <w:rPr>
          <w:color w:val="00000A"/>
        </w:rPr>
      </w:pPr>
      <w:r>
        <w:rPr>
          <w:color w:val="00000A"/>
        </w:rPr>
        <w:t>-</w:t>
      </w:r>
      <w:r>
        <w:rPr>
          <w:i/>
          <w:iCs/>
          <w:color w:val="00000A"/>
        </w:rPr>
        <w:t xml:space="preserve">зоны с особыми условиями использования территорий: </w:t>
      </w:r>
    </w:p>
    <w:p>
      <w:pPr>
        <w:pStyle w:val="Default"/>
        <w:ind w:firstLine="709"/>
        <w:jc w:val="both"/>
        <w:rPr>
          <w:color w:val="00000A"/>
        </w:rPr>
      </w:pPr>
      <w:r>
        <w:rPr>
          <w:color w:val="00000A"/>
        </w:rPr>
        <w:t xml:space="preserve">применительно к зонам с особыми условиями использования территорий градостроительные регламенты устанавливаются в соответствии с ограничениями режима хозяйственной деятельности соответствующей территории, определёнными законодательством Российской Федерации; </w:t>
      </w:r>
    </w:p>
    <w:p>
      <w:pPr>
        <w:pStyle w:val="Default"/>
        <w:ind w:firstLine="709"/>
        <w:jc w:val="both"/>
        <w:rPr>
          <w:color w:val="00000A"/>
        </w:rPr>
      </w:pPr>
      <w:r>
        <w:rPr>
          <w:b/>
          <w:bCs/>
          <w:color w:val="00000A"/>
        </w:rPr>
        <w:t xml:space="preserve">зоны с особыми условиями использования территорий </w:t>
      </w:r>
      <w:r>
        <w:rPr>
          <w:color w:val="00000A"/>
        </w:rPr>
        <w:t xml:space="preserve">- охранные, санитарно-защитные зоны, зоны охраны объектов культурного наследия (памятников истории и культуры) народов Российской Федерации, водоохранные зоны, зоны затопления, подтопления, зоны санитарной охраны источников водоснабжения (питьевого, хозяйственно-бытового), зоны охраняемых объектов, иные зоны, устанавливаемые в соответствии с законодательством Российской Федерации; </w:t>
      </w:r>
    </w:p>
    <w:p>
      <w:pPr>
        <w:pStyle w:val="Default"/>
        <w:ind w:firstLine="709"/>
        <w:jc w:val="both"/>
        <w:rPr>
          <w:color w:val="00000A"/>
        </w:rPr>
      </w:pPr>
      <w:r>
        <w:rPr>
          <w:b/>
          <w:bCs/>
          <w:color w:val="00000A"/>
        </w:rPr>
        <w:t xml:space="preserve">зоны санитарной охраны источников водоснабжения </w:t>
      </w:r>
      <w:r>
        <w:rPr>
          <w:color w:val="00000A"/>
        </w:rPr>
        <w:t xml:space="preserve">- санитарная охрана от загрязнения источников водоснабжения и водопроводных сооружений, а также территорий, на которых они расположены. Санитарная охрана водоводов обеспечивается санитарно-защитной полосой; </w:t>
      </w:r>
    </w:p>
    <w:p>
      <w:pPr>
        <w:pStyle w:val="Default"/>
        <w:ind w:firstLine="709"/>
        <w:jc w:val="both"/>
        <w:rPr>
          <w:color w:val="00000A"/>
        </w:rPr>
      </w:pPr>
      <w:r>
        <w:rPr>
          <w:b/>
          <w:bCs/>
          <w:color w:val="00000A"/>
        </w:rPr>
        <w:t xml:space="preserve">охрана водных объектов </w:t>
      </w:r>
      <w:r>
        <w:rPr>
          <w:color w:val="00000A"/>
        </w:rPr>
        <w:t xml:space="preserve">- система мероприятий, направленных на сохранение и восстановление водных объектов; </w:t>
      </w:r>
    </w:p>
    <w:p>
      <w:pPr>
        <w:pStyle w:val="Default"/>
        <w:ind w:firstLine="709"/>
        <w:jc w:val="both"/>
        <w:rPr>
          <w:color w:val="00000A"/>
        </w:rPr>
      </w:pPr>
      <w:r>
        <w:rPr>
          <w:b/>
          <w:bCs/>
          <w:color w:val="00000A"/>
        </w:rPr>
        <w:t xml:space="preserve">охранные зоны </w:t>
      </w:r>
      <w:r>
        <w:rPr>
          <w:color w:val="00000A"/>
        </w:rPr>
        <w:t xml:space="preserve">- территории, в границах которых, устанавливаются особые условия и требования к использованию земельных участков, осуществлению хозяйственной и иной деятельности, которые устанавливаются в соответствии с законодательством Российской Федерации; </w:t>
      </w:r>
    </w:p>
    <w:p>
      <w:pPr>
        <w:pStyle w:val="Default"/>
        <w:ind w:firstLine="709"/>
        <w:jc w:val="both"/>
        <w:rPr>
          <w:color w:val="00000A"/>
        </w:rPr>
      </w:pPr>
      <w:r>
        <w:rPr>
          <w:b/>
          <w:bCs/>
          <w:color w:val="00000A"/>
        </w:rPr>
        <w:t xml:space="preserve">охранные зоны объектов железнодорожного транспорта </w:t>
      </w:r>
      <w:r>
        <w:rPr>
          <w:color w:val="00000A"/>
        </w:rPr>
        <w:t xml:space="preserve">- территории, которые прилегают с обеих сторон к полосе отвода и в границах которых устанавливается особый режим использования земельных участков (частей земельных участков) в целях обеспечения сохранности, прочности и устойчивости объектов железнодорожного транспорта, в том числе находящихся на территориях с подвижной почвой и на территориях, подверженных снежным, песчаным заносам и другим вредным воздействиям; </w:t>
      </w:r>
    </w:p>
    <w:p>
      <w:pPr>
        <w:pStyle w:val="Default"/>
        <w:ind w:firstLine="709"/>
        <w:jc w:val="both"/>
        <w:rPr>
          <w:color w:val="00000A"/>
        </w:rPr>
      </w:pPr>
      <w:r>
        <w:rPr>
          <w:b/>
          <w:bCs/>
          <w:color w:val="00000A"/>
        </w:rPr>
        <w:t xml:space="preserve">приаэродромная территория </w:t>
      </w:r>
      <w:r>
        <w:rPr>
          <w:color w:val="00000A"/>
        </w:rPr>
        <w:t xml:space="preserve">- прилегающий к аэродрому участок земной или водной поверхности, в пределах которого (в целях обеспечения безопасности полётов и исключения вредного воздействия на здоровье людей и деятельность организаций) устанавливается зона с особыми условиями использования территории; </w:t>
      </w:r>
    </w:p>
    <w:p>
      <w:pPr>
        <w:pStyle w:val="Default"/>
        <w:ind w:firstLine="709"/>
        <w:jc w:val="both"/>
        <w:rPr>
          <w:color w:val="00000A"/>
        </w:rPr>
      </w:pPr>
      <w:r>
        <w:rPr>
          <w:b/>
          <w:bCs/>
          <w:color w:val="00000A"/>
        </w:rPr>
        <w:t>санитарно</w:t>
      </w:r>
      <w:r>
        <w:rPr>
          <w:color w:val="00000A"/>
        </w:rPr>
        <w:t>-</w:t>
      </w:r>
      <w:r>
        <w:rPr>
          <w:b/>
          <w:bCs/>
          <w:color w:val="00000A"/>
        </w:rPr>
        <w:t xml:space="preserve">защитная зона (СЗЗ) </w:t>
      </w:r>
      <w:r>
        <w:rPr>
          <w:color w:val="00000A"/>
        </w:rPr>
        <w:t xml:space="preserve">- территория с особым режимом использования, размер которой обеспечивает уменьшение воздействие загрязнения на атмосферный воздух (химического, биологического, физического) до значений, установленных гигиеническими нормативами, а для предприятий I - II классов опасности - как до значений, установленных гигиеническими нормативами, так и до величин приемлемого риска для здоровья населения; </w:t>
      </w:r>
    </w:p>
    <w:p>
      <w:pPr>
        <w:pStyle w:val="Default"/>
        <w:ind w:firstLine="709"/>
        <w:jc w:val="both"/>
        <w:rPr>
          <w:color w:val="00000A"/>
        </w:rPr>
      </w:pPr>
      <w:r>
        <w:rPr>
          <w:b/>
          <w:bCs/>
          <w:color w:val="00000A"/>
        </w:rPr>
        <w:t xml:space="preserve">санитарный разрыв </w:t>
      </w:r>
      <w:r>
        <w:rPr>
          <w:color w:val="00000A"/>
        </w:rPr>
        <w:t xml:space="preserve">- расстояние от источника химического, биологического и (или) физического воздействия, уменьшающее эти воздействия до значений гигиенических нормативов; </w:t>
      </w:r>
    </w:p>
    <w:p>
      <w:pPr>
        <w:pStyle w:val="Default"/>
        <w:ind w:firstLine="709"/>
        <w:jc w:val="both"/>
        <w:rPr>
          <w:color w:val="00000A"/>
        </w:rPr>
      </w:pPr>
      <w:r>
        <w:rPr>
          <w:color w:val="00000A"/>
        </w:rPr>
        <w:t xml:space="preserve">- </w:t>
      </w:r>
      <w:r>
        <w:rPr>
          <w:i/>
          <w:iCs/>
          <w:color w:val="00000A"/>
        </w:rPr>
        <w:t xml:space="preserve">территории с ограниченной хозяйственной деятельностью, для которых градостроительные регламенты не устанавливаются: </w:t>
      </w:r>
    </w:p>
    <w:p>
      <w:pPr>
        <w:pStyle w:val="Default"/>
        <w:ind w:firstLine="709"/>
        <w:jc w:val="both"/>
        <w:rPr>
          <w:color w:val="00000A"/>
        </w:rPr>
      </w:pPr>
      <w:r>
        <w:rPr>
          <w:color w:val="00000A"/>
        </w:rPr>
        <w:t xml:space="preserve">ч.6 ст.36 Градостроительного кодекса Российской Федерации определён перечень земель и территорий, для которых градостроительные регламенты не устанавливаются; </w:t>
      </w:r>
    </w:p>
    <w:p>
      <w:pPr>
        <w:pStyle w:val="Default"/>
        <w:ind w:firstLine="709"/>
        <w:jc w:val="both"/>
        <w:rPr>
          <w:color w:val="00000A"/>
        </w:rPr>
      </w:pPr>
      <w:r>
        <w:rPr>
          <w:b/>
          <w:bCs/>
          <w:color w:val="00000A"/>
        </w:rPr>
        <w:t xml:space="preserve">водный объект </w:t>
      </w:r>
      <w:r>
        <w:rPr>
          <w:color w:val="00000A"/>
        </w:rPr>
        <w:t xml:space="preserve">- природный или искусственный водоём, водоток либо иной объект, постоянное или временное сосредоточение вод в котором имеет характерные формы и признаки водного режима; </w:t>
      </w:r>
    </w:p>
    <w:p>
      <w:pPr>
        <w:pStyle w:val="Default"/>
        <w:ind w:firstLine="709"/>
        <w:jc w:val="both"/>
        <w:rPr>
          <w:color w:val="00000A"/>
        </w:rPr>
      </w:pPr>
      <w:r>
        <w:rPr>
          <w:b/>
          <w:bCs/>
          <w:color w:val="00000A"/>
        </w:rPr>
        <w:t xml:space="preserve">земли, покрытые поверхностными водами </w:t>
      </w:r>
      <w:r>
        <w:rPr>
          <w:color w:val="00000A"/>
        </w:rPr>
        <w:t xml:space="preserve">- поверхностные водные объекты состоят из поверхностных вод и покрытых ими земель в пределах береговой линии. К поверхностным водным объектам относятся: </w:t>
      </w:r>
    </w:p>
    <w:p>
      <w:pPr>
        <w:pStyle w:val="Default"/>
        <w:ind w:firstLine="709"/>
        <w:jc w:val="both"/>
        <w:rPr>
          <w:color w:val="00000A"/>
        </w:rPr>
      </w:pPr>
      <w:r>
        <w:rPr>
          <w:color w:val="00000A"/>
        </w:rPr>
        <w:t xml:space="preserve">1) моря или их отдельные части (проливы, заливы, в том числе бухты, лиманы и другие); </w:t>
      </w:r>
    </w:p>
    <w:p>
      <w:pPr>
        <w:pStyle w:val="Default"/>
        <w:ind w:firstLine="709"/>
        <w:jc w:val="both"/>
        <w:rPr>
          <w:color w:val="00000A"/>
        </w:rPr>
      </w:pPr>
      <w:r>
        <w:rPr>
          <w:color w:val="00000A"/>
        </w:rPr>
        <w:t xml:space="preserve">2) водотоки (реки, ручьи, каналы); </w:t>
      </w:r>
    </w:p>
    <w:p>
      <w:pPr>
        <w:pStyle w:val="Default"/>
        <w:ind w:firstLine="709"/>
        <w:jc w:val="both"/>
        <w:rPr>
          <w:color w:val="00000A"/>
        </w:rPr>
      </w:pPr>
      <w:r>
        <w:rPr>
          <w:color w:val="00000A"/>
        </w:rPr>
        <w:t xml:space="preserve">3) водоёмы (озёра, пруды, обводненные карьеры, водохранилища); </w:t>
      </w:r>
    </w:p>
    <w:p>
      <w:pPr>
        <w:pStyle w:val="Default"/>
        <w:ind w:firstLine="709"/>
        <w:jc w:val="both"/>
        <w:rPr>
          <w:color w:val="00000A"/>
        </w:rPr>
      </w:pPr>
      <w:r>
        <w:rPr>
          <w:color w:val="00000A"/>
        </w:rPr>
        <w:t xml:space="preserve">4) болота; </w:t>
      </w:r>
    </w:p>
    <w:p>
      <w:pPr>
        <w:pStyle w:val="Default"/>
        <w:ind w:firstLine="709"/>
        <w:jc w:val="both"/>
        <w:rPr>
          <w:color w:val="00000A"/>
        </w:rPr>
      </w:pPr>
      <w:r>
        <w:rPr>
          <w:color w:val="00000A"/>
        </w:rPr>
        <w:t xml:space="preserve">5) природные выходы подземных вод (родники, гейзеры); </w:t>
      </w:r>
    </w:p>
    <w:p>
      <w:pPr>
        <w:pStyle w:val="Default"/>
        <w:ind w:firstLine="709"/>
        <w:jc w:val="both"/>
        <w:rPr>
          <w:color w:val="00000A"/>
        </w:rPr>
      </w:pPr>
      <w:r>
        <w:rPr>
          <w:color w:val="00000A"/>
        </w:rPr>
        <w:t xml:space="preserve">6) ледники, снежники; </w:t>
      </w:r>
    </w:p>
    <w:p>
      <w:pPr>
        <w:pStyle w:val="Default"/>
        <w:ind w:firstLine="709"/>
        <w:jc w:val="both"/>
        <w:rPr>
          <w:color w:val="00000A"/>
        </w:rPr>
      </w:pPr>
      <w:r>
        <w:rPr>
          <w:color w:val="00000A"/>
        </w:rPr>
        <w:t xml:space="preserve">- </w:t>
      </w:r>
      <w:r>
        <w:rPr>
          <w:i/>
          <w:iCs/>
          <w:color w:val="00000A"/>
        </w:rPr>
        <w:t xml:space="preserve">субъекты и объекты земельных отношений: </w:t>
      </w:r>
    </w:p>
    <w:p>
      <w:pPr>
        <w:pStyle w:val="Default"/>
        <w:ind w:firstLine="709"/>
        <w:jc w:val="both"/>
        <w:rPr>
          <w:color w:val="00000A"/>
        </w:rPr>
      </w:pPr>
      <w:r>
        <w:rPr>
          <w:b/>
          <w:bCs/>
          <w:color w:val="00000A"/>
        </w:rPr>
        <w:t xml:space="preserve">арендаторы земельных участков </w:t>
      </w:r>
      <w:r>
        <w:rPr>
          <w:color w:val="00000A"/>
        </w:rPr>
        <w:t xml:space="preserve">- лица, владеющие и пользующиеся земельными участками по договору аренды, договору субаренды; </w:t>
      </w:r>
    </w:p>
    <w:p>
      <w:pPr>
        <w:pStyle w:val="Default"/>
        <w:ind w:firstLine="709"/>
        <w:jc w:val="both"/>
        <w:rPr>
          <w:color w:val="00000A"/>
        </w:rPr>
      </w:pPr>
      <w:r>
        <w:rPr>
          <w:b/>
          <w:bCs/>
          <w:color w:val="00000A"/>
        </w:rPr>
        <w:t xml:space="preserve">земельный участок </w:t>
      </w:r>
      <w:r>
        <w:rPr>
          <w:color w:val="00000A"/>
        </w:rPr>
        <w:t xml:space="preserve">- объект права собственности и иных предусмотренных Земельным кодексом Российской Федерации прав на землю является недвижимой вещью, которая представляет собой часть земной поверхности и имеет характеристики, позволяющие определить её в качестве индивидуально определённой вещи; </w:t>
      </w:r>
    </w:p>
    <w:p>
      <w:pPr>
        <w:pStyle w:val="Default"/>
        <w:ind w:firstLine="709"/>
        <w:jc w:val="both"/>
        <w:rPr>
          <w:color w:val="00000A"/>
        </w:rPr>
      </w:pPr>
      <w:r>
        <w:rPr>
          <w:b/>
          <w:bCs/>
          <w:color w:val="00000A"/>
        </w:rPr>
        <w:t xml:space="preserve">землевладельцы </w:t>
      </w:r>
      <w:r>
        <w:rPr>
          <w:color w:val="00000A"/>
        </w:rPr>
        <w:t xml:space="preserve">- лица, владеющие и пользующиеся земельными участками на праве пожизненного наследуемого владения; </w:t>
      </w:r>
    </w:p>
    <w:p>
      <w:pPr>
        <w:pStyle w:val="Default"/>
        <w:ind w:firstLine="709"/>
        <w:jc w:val="both"/>
        <w:rPr>
          <w:color w:val="00000A"/>
        </w:rPr>
      </w:pPr>
      <w:r>
        <w:rPr>
          <w:b/>
          <w:bCs/>
          <w:color w:val="00000A"/>
        </w:rPr>
        <w:t xml:space="preserve">землепользователи </w:t>
      </w:r>
      <w:r>
        <w:rPr>
          <w:color w:val="00000A"/>
        </w:rPr>
        <w:t xml:space="preserve">- лица, владеющие и пользующиеся земельными участками на праве постоянного (бессрочного) пользования или на праве безвозмездного пользования; </w:t>
      </w:r>
    </w:p>
    <w:p>
      <w:pPr>
        <w:pStyle w:val="Default"/>
        <w:ind w:firstLine="709"/>
        <w:jc w:val="both"/>
        <w:rPr>
          <w:color w:val="00000A"/>
        </w:rPr>
      </w:pPr>
      <w:r>
        <w:rPr>
          <w:b/>
          <w:bCs/>
          <w:color w:val="00000A"/>
        </w:rPr>
        <w:t xml:space="preserve">правообладатели земельных участков </w:t>
      </w:r>
      <w:r>
        <w:rPr>
          <w:color w:val="00000A"/>
        </w:rPr>
        <w:t xml:space="preserve">- собственники земельных участков, землепользователи, землевладельцы и арендаторы земельных участков; </w:t>
      </w:r>
    </w:p>
    <w:p>
      <w:pPr>
        <w:pStyle w:val="Default"/>
        <w:ind w:firstLine="709"/>
        <w:jc w:val="both"/>
        <w:rPr>
          <w:color w:val="00000A"/>
        </w:rPr>
      </w:pPr>
      <w:r>
        <w:rPr>
          <w:b/>
          <w:bCs/>
          <w:color w:val="00000A"/>
        </w:rPr>
        <w:t xml:space="preserve">собственники земельных участков </w:t>
      </w:r>
      <w:r>
        <w:rPr>
          <w:color w:val="00000A"/>
        </w:rPr>
        <w:t xml:space="preserve">- лица, являющиеся собственниками земельных участков; </w:t>
      </w:r>
    </w:p>
    <w:p>
      <w:pPr>
        <w:pStyle w:val="Default"/>
        <w:ind w:firstLine="709"/>
        <w:jc w:val="both"/>
        <w:rPr>
          <w:color w:val="00000A"/>
        </w:rPr>
      </w:pPr>
      <w:r>
        <w:rPr>
          <w:color w:val="00000A"/>
        </w:rPr>
        <w:t xml:space="preserve">- </w:t>
      </w:r>
      <w:r>
        <w:rPr>
          <w:i/>
          <w:iCs/>
          <w:color w:val="00000A"/>
        </w:rPr>
        <w:t xml:space="preserve">элементы планировочной структуры: </w:t>
      </w:r>
    </w:p>
    <w:p>
      <w:pPr>
        <w:pStyle w:val="Default"/>
        <w:ind w:firstLine="709"/>
        <w:jc w:val="both"/>
        <w:rPr>
          <w:color w:val="00000A"/>
        </w:rPr>
      </w:pPr>
      <w:r>
        <w:rPr>
          <w:b/>
          <w:bCs/>
          <w:color w:val="00000A"/>
        </w:rPr>
        <w:t xml:space="preserve">квартал (микрорайон) </w:t>
      </w:r>
      <w:r>
        <w:rPr>
          <w:color w:val="00000A"/>
        </w:rPr>
        <w:t xml:space="preserve">- основной планировочный элемент застройки в границах красных линий или других границ, размер территории которого, как правило, от 5 до 60 га. В квартале (микрорайоне) могут выделяться земельные участки жилой застройки для отдельных домов (домовладений) или групп жилых домов в соответствии с планом межевания территории; </w:t>
      </w:r>
    </w:p>
    <w:p>
      <w:pPr>
        <w:pStyle w:val="Default"/>
        <w:ind w:firstLine="709"/>
        <w:jc w:val="both"/>
        <w:rPr>
          <w:color w:val="00000A"/>
        </w:rPr>
      </w:pPr>
      <w:r>
        <w:rPr>
          <w:b/>
          <w:bCs/>
          <w:color w:val="00000A"/>
        </w:rPr>
        <w:t xml:space="preserve">район </w:t>
      </w:r>
      <w:r>
        <w:rPr>
          <w:color w:val="00000A"/>
        </w:rPr>
        <w:t xml:space="preserve">- формируется как группа кварталов (микрорайонов), как правило, в пределах территории, ограниченной магистральными улицами, линиями железных дорог, естественными рубежами. Площадь территории района не должна превышать 250 га; </w:t>
      </w:r>
    </w:p>
    <w:p>
      <w:pPr>
        <w:pStyle w:val="Default"/>
        <w:ind w:firstLine="709"/>
        <w:jc w:val="both"/>
        <w:rPr>
          <w:color w:val="00000A"/>
        </w:rPr>
      </w:pPr>
      <w:r>
        <w:rPr>
          <w:b/>
          <w:bCs/>
          <w:color w:val="00000A"/>
        </w:rPr>
        <w:t xml:space="preserve">элемент планировочной структуры </w:t>
      </w:r>
      <w:r>
        <w:rPr>
          <w:color w:val="00000A"/>
        </w:rPr>
        <w:t xml:space="preserve">- квартал или микрорайон, границами которого являются определённые документацией по планировке территории красные линии либо подлежащие определению красные линии (в случаях отсутствия документации по планировке территории в соответствии с настоящими Правилами), а также район как совокупность кварталов, микрорайонов; </w:t>
      </w:r>
    </w:p>
    <w:p>
      <w:pPr>
        <w:pStyle w:val="Default"/>
        <w:ind w:firstLine="709"/>
        <w:jc w:val="both"/>
        <w:rPr>
          <w:color w:val="00000A"/>
        </w:rPr>
      </w:pPr>
      <w:r>
        <w:rPr>
          <w:color w:val="00000A"/>
        </w:rPr>
        <w:t xml:space="preserve">- </w:t>
      </w:r>
      <w:r>
        <w:rPr>
          <w:i/>
          <w:iCs/>
          <w:color w:val="00000A"/>
        </w:rPr>
        <w:t xml:space="preserve">территории по назначению: </w:t>
      </w:r>
    </w:p>
    <w:p>
      <w:pPr>
        <w:pStyle w:val="Default"/>
        <w:ind w:firstLine="709"/>
        <w:jc w:val="both"/>
        <w:rPr>
          <w:color w:val="00000A"/>
        </w:rPr>
      </w:pPr>
      <w:r>
        <w:rPr>
          <w:b/>
          <w:bCs/>
          <w:color w:val="00000A"/>
        </w:rPr>
        <w:t xml:space="preserve">озеленённые территории </w:t>
      </w:r>
      <w:r>
        <w:rPr>
          <w:color w:val="00000A"/>
        </w:rPr>
        <w:t xml:space="preserve">- часть территории природного комплекса, на которой располагаются природные и искусственно созданные садово-парковые комплексы и объекты - парк, сад, сквер, бульвар и др.; территории жилых, общественно-деловых и других территориальных зон, не менее 70% поверхности которых занято зелёными насаждениями и другим растительным покровом; </w:t>
      </w:r>
    </w:p>
    <w:p>
      <w:pPr>
        <w:pStyle w:val="Default"/>
        <w:ind w:firstLine="709"/>
        <w:jc w:val="both"/>
        <w:rPr>
          <w:color w:val="00000A"/>
        </w:rPr>
      </w:pPr>
      <w:r>
        <w:rPr>
          <w:b/>
          <w:bCs/>
          <w:color w:val="00000A"/>
        </w:rPr>
        <w:t xml:space="preserve">территории общего пользования </w:t>
      </w:r>
      <w:r>
        <w:rPr>
          <w:color w:val="00000A"/>
        </w:rPr>
        <w:t xml:space="preserve">-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 </w:t>
      </w:r>
    </w:p>
    <w:p>
      <w:pPr>
        <w:pStyle w:val="Default"/>
        <w:ind w:firstLine="709"/>
        <w:jc w:val="both"/>
        <w:rPr>
          <w:color w:val="00000A"/>
        </w:rPr>
      </w:pPr>
      <w:r>
        <w:rPr>
          <w:color w:val="00000A"/>
        </w:rPr>
        <w:t xml:space="preserve">- </w:t>
      </w:r>
      <w:r>
        <w:rPr>
          <w:i/>
          <w:iCs/>
          <w:color w:val="00000A"/>
        </w:rPr>
        <w:t xml:space="preserve">линейные объекты: </w:t>
      </w:r>
    </w:p>
    <w:p>
      <w:pPr>
        <w:pStyle w:val="Default"/>
        <w:ind w:firstLine="709"/>
        <w:jc w:val="both"/>
        <w:rPr>
          <w:color w:val="00000A"/>
        </w:rPr>
      </w:pPr>
      <w:r>
        <w:rPr>
          <w:b/>
          <w:bCs/>
          <w:color w:val="00000A"/>
        </w:rPr>
        <w:t xml:space="preserve">автомобильная дорога </w:t>
      </w:r>
      <w:r>
        <w:rPr>
          <w:color w:val="00000A"/>
        </w:rPr>
        <w:t xml:space="preserve">- 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её технологической частью, - защитные дорожные сооружения, искусственные дорожные сооружения, производственные объекты, элементы обустройства автомобильных дорог; </w:t>
      </w:r>
    </w:p>
    <w:p>
      <w:pPr>
        <w:pStyle w:val="Default"/>
        <w:ind w:firstLine="709"/>
        <w:jc w:val="both"/>
        <w:rPr>
          <w:color w:val="00000A"/>
        </w:rPr>
      </w:pPr>
      <w:r>
        <w:rPr>
          <w:b/>
          <w:bCs/>
          <w:color w:val="00000A"/>
        </w:rPr>
        <w:t>линейно</w:t>
      </w:r>
      <w:r>
        <w:rPr>
          <w:color w:val="00000A"/>
        </w:rPr>
        <w:t>-</w:t>
      </w:r>
      <w:r>
        <w:rPr>
          <w:b/>
          <w:bCs/>
          <w:color w:val="00000A"/>
        </w:rPr>
        <w:t xml:space="preserve">кабельные сооружения связи </w:t>
      </w:r>
      <w:r>
        <w:rPr>
          <w:color w:val="00000A"/>
        </w:rPr>
        <w:t xml:space="preserve">- объекты инженерной инфраструктуры, созданные или приспособленные для размещения кабелей связи; </w:t>
      </w:r>
    </w:p>
    <w:p>
      <w:pPr>
        <w:pStyle w:val="Default"/>
        <w:ind w:firstLine="709"/>
        <w:jc w:val="both"/>
        <w:rPr>
          <w:color w:val="00000A"/>
        </w:rPr>
      </w:pPr>
      <w:r>
        <w:rPr>
          <w:b/>
          <w:bCs/>
          <w:color w:val="00000A"/>
        </w:rPr>
        <w:t xml:space="preserve">линейные объекты </w:t>
      </w:r>
      <w:r>
        <w:rPr>
          <w:color w:val="00000A"/>
        </w:rPr>
        <w:t xml:space="preserve">- сети инженерно-технического обеспечения, трубопроводы (нефтепроводы, газопроводы и иные трубопроводы), автомобильные дороги и железнодорожные линии, линии электропередач и линии связи (в том числе линейно-кабельные сооружения), и др. Линейные объекты по видам разделяются на: надземные (воздушные), наземные (поверхностные) и подземные; </w:t>
      </w:r>
    </w:p>
    <w:p>
      <w:pPr>
        <w:pStyle w:val="Default"/>
        <w:ind w:firstLine="709"/>
        <w:jc w:val="both"/>
        <w:rPr>
          <w:color w:val="00000A"/>
        </w:rPr>
      </w:pPr>
      <w:r>
        <w:rPr>
          <w:b/>
          <w:bCs/>
          <w:color w:val="00000A"/>
        </w:rPr>
        <w:t xml:space="preserve">линии связи </w:t>
      </w:r>
      <w:r>
        <w:rPr>
          <w:color w:val="00000A"/>
        </w:rPr>
        <w:t xml:space="preserve">- линии передачи, физические цепи и линейно-кабельные сооружения связи; </w:t>
      </w:r>
    </w:p>
    <w:p>
      <w:pPr>
        <w:pStyle w:val="Default"/>
        <w:ind w:firstLine="709"/>
        <w:jc w:val="both"/>
        <w:rPr>
          <w:color w:val="00000A"/>
        </w:rPr>
      </w:pPr>
      <w:r>
        <w:rPr>
          <w:b/>
          <w:bCs/>
          <w:color w:val="00000A"/>
        </w:rPr>
        <w:t>сеть инженерно</w:t>
      </w:r>
      <w:r>
        <w:rPr>
          <w:color w:val="00000A"/>
        </w:rPr>
        <w:t>-</w:t>
      </w:r>
      <w:r>
        <w:rPr>
          <w:b/>
          <w:bCs/>
          <w:color w:val="00000A"/>
        </w:rPr>
        <w:t xml:space="preserve">технического обеспечения </w:t>
      </w:r>
      <w:r>
        <w:rPr>
          <w:color w:val="00000A"/>
        </w:rPr>
        <w:t xml:space="preserve">- совокупность трубопроводов, коммуникаций и других сооружений, предназначенных для инженерно-технического обеспечения зданий и сооружений; </w:t>
      </w:r>
    </w:p>
    <w:p>
      <w:pPr>
        <w:pStyle w:val="Default"/>
        <w:ind w:firstLine="709"/>
        <w:jc w:val="both"/>
        <w:rPr>
          <w:i/>
          <w:i/>
          <w:iCs/>
          <w:color w:val="00000A"/>
        </w:rPr>
      </w:pPr>
      <w:r>
        <w:rPr>
          <w:color w:val="00000A"/>
        </w:rPr>
        <w:t xml:space="preserve">- </w:t>
      </w:r>
      <w:r>
        <w:rPr>
          <w:i/>
          <w:iCs/>
          <w:color w:val="00000A"/>
        </w:rPr>
        <w:t xml:space="preserve">объекты капитального строительства: </w:t>
      </w:r>
    </w:p>
    <w:p>
      <w:pPr>
        <w:pStyle w:val="Default"/>
        <w:ind w:firstLine="709"/>
        <w:jc w:val="both"/>
        <w:rPr>
          <w:color w:val="00000A"/>
        </w:rPr>
      </w:pPr>
      <w:r>
        <w:rPr>
          <w:b/>
          <w:bCs/>
          <w:color w:val="00000A"/>
        </w:rPr>
        <w:t>блокированный жилой дом (</w:t>
      </w:r>
      <w:r>
        <w:rPr>
          <w:color w:val="00000A"/>
        </w:rPr>
        <w:t xml:space="preserve">жилые дома блокированной застройки в границах зоны застройки индивидуальными жилыми домами) - жилой дом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проёмов с соседним блоком или соседними блоками, расположен на отдельном земельном участке и имеет выход на территорию общего пользования (в том числе с приквартирного участка); </w:t>
      </w:r>
    </w:p>
    <w:p>
      <w:pPr>
        <w:pStyle w:val="Default"/>
        <w:ind w:firstLine="709"/>
        <w:jc w:val="both"/>
        <w:rPr>
          <w:color w:val="00000A"/>
        </w:rPr>
      </w:pPr>
      <w:r>
        <w:rPr>
          <w:b/>
          <w:bCs/>
          <w:color w:val="00000A"/>
        </w:rPr>
        <w:t xml:space="preserve">здание </w:t>
      </w:r>
      <w:r>
        <w:rPr>
          <w:color w:val="00000A"/>
        </w:rPr>
        <w:t xml:space="preserve">- результат строительства, представляющий собой объёмную строительную систему, имеющую надземную и (или) подземную части, включающую в себя помещения, сети инженерно-технического обеспечения и системы инженерно-технического обеспечения и предназначенную для проживания и (или) деятельности людей, размещения производства, хранения продукции или содержания животных; </w:t>
      </w:r>
    </w:p>
    <w:p>
      <w:pPr>
        <w:pStyle w:val="Default"/>
        <w:ind w:firstLine="709"/>
        <w:jc w:val="both"/>
        <w:rPr>
          <w:color w:val="00000A"/>
        </w:rPr>
      </w:pPr>
      <w:r>
        <w:rPr>
          <w:b/>
          <w:bCs/>
          <w:color w:val="00000A"/>
        </w:rPr>
        <w:t xml:space="preserve">индивидуальный жилой дом </w:t>
      </w:r>
      <w:r>
        <w:rPr>
          <w:color w:val="00000A"/>
        </w:rPr>
        <w:t xml:space="preserve">- отдельно стоящий жилой дом с количеством этажей не более чем три, предназначенных для проживания одной семьи; </w:t>
      </w:r>
    </w:p>
    <w:p>
      <w:pPr>
        <w:pStyle w:val="Default"/>
        <w:ind w:firstLine="709"/>
        <w:jc w:val="both"/>
        <w:rPr>
          <w:color w:val="00000A"/>
        </w:rPr>
      </w:pPr>
      <w:r>
        <w:rPr>
          <w:b/>
          <w:bCs/>
          <w:color w:val="00000A"/>
        </w:rPr>
        <w:t xml:space="preserve">многоквартирный дом </w:t>
      </w:r>
      <w:r>
        <w:rPr>
          <w:color w:val="00000A"/>
        </w:rPr>
        <w:t xml:space="preserve">(многоквартирные дома в границах зон застройки малоэтажными жилыми домами, среднеэтажными жилыми домами, многоэтажными жилыми домами) - жилой дом, состоящий из одной или нескольких блок-секций, в каждой из которых находятся несколько квартир (две и более квартир) и помещения общего пользования, каждая из блок-секций имеет отдельный подъезд с выходом на территорию общего пользования. Квартиры, имеют самостоятельные выходы либо на земельный участок (территорию общего пользования), прилегающий к жилому дому, либо в помещения общего пользования в таком доме. </w:t>
      </w:r>
    </w:p>
    <w:p>
      <w:pPr>
        <w:pStyle w:val="Default"/>
        <w:ind w:firstLine="709"/>
        <w:jc w:val="both"/>
        <w:rPr>
          <w:color w:val="00000A"/>
        </w:rPr>
      </w:pPr>
      <w:r>
        <w:rPr>
          <w:color w:val="00000A"/>
        </w:rPr>
        <w:t xml:space="preserve">Многоквартирный дом имеет общее имущество помещений общего пользования, в том числе собственников помещений в таком доме; </w:t>
      </w:r>
    </w:p>
    <w:p>
      <w:pPr>
        <w:pStyle w:val="Default"/>
        <w:ind w:firstLine="709"/>
        <w:jc w:val="both"/>
        <w:rPr>
          <w:color w:val="00000A"/>
        </w:rPr>
      </w:pPr>
      <w:r>
        <w:rPr>
          <w:b/>
          <w:bCs/>
          <w:color w:val="00000A"/>
        </w:rPr>
        <w:t xml:space="preserve">объект капитального строительства </w:t>
      </w:r>
      <w:r>
        <w:rPr>
          <w:color w:val="00000A"/>
        </w:rPr>
        <w:t xml:space="preserve">- здание, строение, сооружение, объекты, строительство которых не завершено (объекты незавершённого строительства), за исключением временных построек, киосков, навесов и других подобных построек; </w:t>
      </w:r>
    </w:p>
    <w:p>
      <w:pPr>
        <w:pStyle w:val="Default"/>
        <w:ind w:firstLine="709"/>
        <w:jc w:val="both"/>
        <w:rPr>
          <w:color w:val="00000A"/>
        </w:rPr>
      </w:pPr>
      <w:r>
        <w:rPr>
          <w:b/>
          <w:bCs/>
          <w:color w:val="00000A"/>
        </w:rPr>
        <w:t xml:space="preserve">разрешение на строительство </w:t>
      </w:r>
      <w:r>
        <w:rPr>
          <w:color w:val="00000A"/>
        </w:rPr>
        <w:t xml:space="preserve">- документ, подтверждающий соответствие проектной документации требованиям градостроительного плана земельного участка или проекту планировки территории и проекту межевания территории (в случае строительства, реконструкции линейных объектов) и дающий застройщику право осуществлять строительство, реконструкцию объектов капитального строительства, за исключением случаев, предусмотренных Градостроительным кодексом Российской Федерации; </w:t>
      </w:r>
    </w:p>
    <w:p>
      <w:pPr>
        <w:pStyle w:val="Default"/>
        <w:ind w:firstLine="709"/>
        <w:jc w:val="both"/>
        <w:rPr>
          <w:color w:val="00000A"/>
        </w:rPr>
      </w:pPr>
      <w:r>
        <w:rPr>
          <w:b/>
          <w:bCs/>
          <w:color w:val="00000A"/>
        </w:rPr>
        <w:t xml:space="preserve">реконструкция объектов капитального строительства (за исключением линейных объектов) </w:t>
      </w:r>
      <w:r>
        <w:rPr>
          <w:color w:val="00000A"/>
        </w:rPr>
        <w:t xml:space="preserve">- изменение параметров объекта капитального строительства, его частей (высоты, количества этажей, площади, объёма),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 </w:t>
      </w:r>
    </w:p>
    <w:p>
      <w:pPr>
        <w:pStyle w:val="Default"/>
        <w:ind w:firstLine="709"/>
        <w:jc w:val="both"/>
        <w:rPr>
          <w:color w:val="00000A"/>
        </w:rPr>
      </w:pPr>
      <w:r>
        <w:rPr>
          <w:b/>
          <w:bCs/>
          <w:color w:val="00000A"/>
        </w:rPr>
        <w:t xml:space="preserve">реконструкция линейных объектов </w:t>
      </w:r>
      <w:r>
        <w:rPr>
          <w:color w:val="00000A"/>
        </w:rPr>
        <w:t xml:space="preserve">- изменение параметров линейных объектов или их участков (частей), которое влечёт за собой изменение класса, категории и (или) первоначально установленных показателей функционирования таких объектов (мощности, грузоподъёмности и других) или при котором требуется изменение границ полос отвода и (или) охранных зон таких объектов; </w:t>
      </w:r>
    </w:p>
    <w:p>
      <w:pPr>
        <w:pStyle w:val="Default"/>
        <w:ind w:firstLine="709"/>
        <w:jc w:val="both"/>
        <w:rPr>
          <w:color w:val="00000A"/>
        </w:rPr>
      </w:pPr>
      <w:r>
        <w:rPr>
          <w:b/>
          <w:bCs/>
          <w:color w:val="00000A"/>
        </w:rPr>
        <w:t xml:space="preserve">сооружение </w:t>
      </w:r>
      <w:r>
        <w:rPr>
          <w:color w:val="00000A"/>
        </w:rPr>
        <w:t xml:space="preserve">- результат строительства, представляющий собой объёмную, плоскостную или линейную строительную систему, имеющую наземную, надземную и (или) подземную части, состоящую из несущих, а в отдельных случаях и ограждающих строительных конструкций и предназначенную для выполнения производственных процессов различного вида, хранения продукции, временного пребывания людей, перемещения людей и грузов; </w:t>
      </w:r>
    </w:p>
    <w:p>
      <w:pPr>
        <w:pStyle w:val="Default"/>
        <w:ind w:firstLine="709"/>
        <w:jc w:val="both"/>
        <w:rPr>
          <w:color w:val="00000A"/>
        </w:rPr>
      </w:pPr>
      <w:r>
        <w:rPr>
          <w:b/>
          <w:bCs/>
          <w:color w:val="00000A"/>
        </w:rPr>
        <w:t xml:space="preserve">строительство </w:t>
      </w:r>
      <w:r>
        <w:rPr>
          <w:color w:val="00000A"/>
        </w:rPr>
        <w:t xml:space="preserve">- создание зданий, строений, сооружений (в том числе на месте сносимых объектов капитального строительства); </w:t>
      </w:r>
    </w:p>
    <w:p>
      <w:pPr>
        <w:pStyle w:val="Default"/>
        <w:ind w:firstLine="709"/>
        <w:jc w:val="both"/>
        <w:rPr>
          <w:color w:val="00000A"/>
        </w:rPr>
      </w:pPr>
      <w:r>
        <w:rPr>
          <w:color w:val="00000A"/>
        </w:rPr>
        <w:t xml:space="preserve">- </w:t>
      </w:r>
      <w:r>
        <w:rPr>
          <w:i/>
          <w:iCs/>
          <w:color w:val="00000A"/>
        </w:rPr>
        <w:t xml:space="preserve">информационное обеспечение градостроительной деятельности: </w:t>
      </w:r>
    </w:p>
    <w:p>
      <w:pPr>
        <w:pStyle w:val="Default"/>
        <w:ind w:firstLine="709"/>
        <w:jc w:val="both"/>
        <w:rPr>
          <w:color w:val="00000A"/>
        </w:rPr>
      </w:pPr>
      <w:r>
        <w:rPr>
          <w:b/>
          <w:bCs/>
          <w:color w:val="00000A"/>
        </w:rPr>
        <w:t xml:space="preserve">информационные системы обеспечения градостроительной деятельности </w:t>
      </w:r>
      <w:r>
        <w:rPr>
          <w:color w:val="00000A"/>
        </w:rPr>
        <w:t xml:space="preserve">- организованный в соответствии с требованиями Градостроительного кодекса Российской Федерации систематизированный свод документированных сведений о развитии территорий, об их застройке, о земельных участках, об объектах капитального строительства и иных необходимых для осуществления градостроительной деятельности сведений; </w:t>
      </w:r>
    </w:p>
    <w:p>
      <w:pPr>
        <w:pStyle w:val="Default"/>
        <w:ind w:firstLine="709"/>
        <w:jc w:val="both"/>
        <w:rPr>
          <w:color w:val="00000A"/>
        </w:rPr>
      </w:pPr>
      <w:r>
        <w:rPr>
          <w:b/>
          <w:bCs/>
          <w:color w:val="00000A"/>
        </w:rPr>
        <w:t xml:space="preserve">федеральная государственная информационная система территориального планирования (ФГИС ТП) </w:t>
      </w:r>
      <w:r>
        <w:rPr>
          <w:color w:val="00000A"/>
        </w:rPr>
        <w:t xml:space="preserve">- информационно-аналитическая система, обеспечивающая доступ к сведениям, содержащимся в государственных информационных ресурсах, государственных и муниципальных информационных системах, в том числе в информационных системах обеспечения градостроительной деятельности, и необходимым для обеспечения деятельности органов государственной власти и органов местного самоуправления в области территориального планирования. </w:t>
      </w:r>
    </w:p>
    <w:p>
      <w:pPr>
        <w:pStyle w:val="Default"/>
        <w:ind w:firstLine="709"/>
        <w:jc w:val="both"/>
        <w:rPr>
          <w:color w:val="00000A"/>
        </w:rPr>
      </w:pPr>
      <w:r>
        <w:rPr>
          <w:color w:val="00000A"/>
        </w:rPr>
        <w:t xml:space="preserve">Наряду с понятиями, приведёнными в настоящей статье, в Правилах используются иные понятия Градостроительного кодекса Российской Федерации, Земельного кодекса Российской Федерации, федеральных законов, нормативных правовых актов Российской Федерации и Карачаево-Черкесской Республики, связанных с регулированием землепользования и застройки. </w:t>
      </w:r>
    </w:p>
    <w:p>
      <w:pPr>
        <w:pStyle w:val="2"/>
        <w:jc w:val="both"/>
        <w:rPr>
          <w:rFonts w:ascii="Times New Roman" w:hAnsi="Times New Roman" w:cs="Times New Roman"/>
          <w:b/>
          <w:b/>
          <w:i/>
          <w:i/>
          <w:color w:val="00000A"/>
          <w:sz w:val="24"/>
          <w:szCs w:val="24"/>
        </w:rPr>
      </w:pPr>
      <w:bookmarkStart w:id="5" w:name="_Toc485621412"/>
      <w:r>
        <w:rPr>
          <w:rFonts w:cs="Times New Roman" w:ascii="Times New Roman" w:hAnsi="Times New Roman"/>
          <w:b/>
          <w:i/>
          <w:color w:val="00000A"/>
          <w:sz w:val="24"/>
          <w:szCs w:val="24"/>
        </w:rPr>
        <w:t>Статья 2. Основания введения, назначение и состав Правил землепользования и застройки</w:t>
      </w:r>
      <w:bookmarkEnd w:id="5"/>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Правила в соответствии с Градостроительным кодексом Российской Федерации, Земельным кодексом Российской Федерации вводят в Загеданском сельском поселении Урупского муниципального района Карачаево-Черкесской Республики (далее по тексту, в том числе - Загеданское сельское поселение) систему регулирования землепользования и застройки, которая основана на градостроительном зонировании, обеспечении прав граждан, равенстве прав физических и юридических лиц в процессе реализации отношений, возникающих в области землепользования и застройки; обеспечении открытой информации о Правилах и условиях использования земельных участков, осуществлении на них строительства, реконструкции и капитального ремонта объектов капитального строительства; подготовке документов для предоставления земельных участков, находящихся в государственной или муниципальной собственности в целях осуществления строительства, реконструкции объектов капитального строительства; развитии застроенных территорий; контроле соответствия градостроительным регламентам строительных намерений застройщиков, а также непосредственно завершённых строительством объектов капитального строительства и их последующего использования. </w:t>
      </w:r>
    </w:p>
    <w:p>
      <w:pPr>
        <w:pStyle w:val="Default"/>
        <w:ind w:firstLine="709"/>
        <w:jc w:val="both"/>
        <w:rPr>
          <w:color w:val="00000A"/>
        </w:rPr>
      </w:pPr>
      <w:r>
        <w:rPr>
          <w:color w:val="00000A"/>
        </w:rPr>
        <w:t xml:space="preserve">2. Целями введения системы регулирования землепользования и застройки, основанной на градостроительном зонировании, являются: </w:t>
      </w:r>
    </w:p>
    <w:p>
      <w:pPr>
        <w:pStyle w:val="Default"/>
        <w:ind w:firstLine="709"/>
        <w:jc w:val="both"/>
        <w:rPr>
          <w:color w:val="00000A"/>
        </w:rPr>
      </w:pPr>
      <w:r>
        <w:rPr>
          <w:color w:val="00000A"/>
        </w:rPr>
        <w:t xml:space="preserve">1) создания условий для устойчивого развития территории сельского поселения, сохранения окружающей среды; </w:t>
      </w:r>
    </w:p>
    <w:p>
      <w:pPr>
        <w:pStyle w:val="Default"/>
        <w:ind w:firstLine="709"/>
        <w:jc w:val="both"/>
        <w:rPr>
          <w:color w:val="00000A"/>
        </w:rPr>
      </w:pPr>
      <w:r>
        <w:rPr>
          <w:color w:val="00000A"/>
        </w:rPr>
        <w:t xml:space="preserve">2) создания условий для планировки территории сельского поселения; </w:t>
      </w:r>
    </w:p>
    <w:p>
      <w:pPr>
        <w:pStyle w:val="Default"/>
        <w:ind w:firstLine="709"/>
        <w:jc w:val="both"/>
        <w:rPr>
          <w:color w:val="00000A"/>
        </w:rPr>
      </w:pPr>
      <w:r>
        <w:rPr>
          <w:color w:val="00000A"/>
        </w:rPr>
        <w:t xml:space="preserve">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w:t>
      </w:r>
    </w:p>
    <w:p>
      <w:pPr>
        <w:pStyle w:val="Default"/>
        <w:ind w:firstLine="709"/>
        <w:jc w:val="both"/>
        <w:rPr>
          <w:color w:val="00000A"/>
        </w:rPr>
      </w:pPr>
      <w:r>
        <w:rPr>
          <w:color w:val="00000A"/>
        </w:rPr>
        <w:t xml:space="preserve">4) создания условий для привлечения инвестиций, в том числе путём предоставления возможности выбора наиболее эффективных видов разрешённого использования земельных участков и объектов капитального строительства. </w:t>
      </w:r>
    </w:p>
    <w:p>
      <w:pPr>
        <w:pStyle w:val="Default"/>
        <w:ind w:firstLine="709"/>
        <w:jc w:val="both"/>
        <w:rPr>
          <w:color w:val="00000A"/>
        </w:rPr>
      </w:pPr>
      <w:r>
        <w:rPr>
          <w:color w:val="00000A"/>
        </w:rPr>
        <w:t xml:space="preserve">3. Правила применяются в качестве правового основания для решения различных вопросов на территории сельского поселения: </w:t>
      </w:r>
    </w:p>
    <w:p>
      <w:pPr>
        <w:pStyle w:val="Default"/>
        <w:ind w:firstLine="709"/>
        <w:jc w:val="both"/>
        <w:rPr>
          <w:color w:val="00000A"/>
        </w:rPr>
      </w:pPr>
      <w:r>
        <w:rPr>
          <w:color w:val="00000A"/>
        </w:rPr>
        <w:t xml:space="preserve">1) подготовка документации по планировке территории; </w:t>
      </w:r>
    </w:p>
    <w:p>
      <w:pPr>
        <w:pStyle w:val="Default"/>
        <w:ind w:firstLine="709"/>
        <w:jc w:val="both"/>
        <w:rPr>
          <w:color w:val="00000A"/>
        </w:rPr>
      </w:pPr>
      <w:r>
        <w:rPr>
          <w:color w:val="00000A"/>
        </w:rPr>
        <w:t xml:space="preserve">2) подготовка проектной документации применительно к объектам капитального строительства и их частям, строящимся, реконструируемым; подготовка отдельных разделов проектной документации при проведении капитального ремонта объектов капитального строительства; </w:t>
      </w:r>
    </w:p>
    <w:p>
      <w:pPr>
        <w:pStyle w:val="Default"/>
        <w:ind w:firstLine="709"/>
        <w:jc w:val="both"/>
        <w:rPr>
          <w:color w:val="00000A"/>
        </w:rPr>
      </w:pPr>
      <w:r>
        <w:rPr>
          <w:color w:val="00000A"/>
        </w:rPr>
        <w:t xml:space="preserve">3) предоставление разрешения на строительство, реконструкцию объектов капитального строительства и выдача разрешения на ввод объекта в эксплуатацию; </w:t>
      </w:r>
    </w:p>
    <w:p>
      <w:pPr>
        <w:pStyle w:val="Default"/>
        <w:ind w:firstLine="709"/>
        <w:jc w:val="both"/>
        <w:rPr>
          <w:color w:val="00000A"/>
        </w:rPr>
      </w:pPr>
      <w:r>
        <w:rPr>
          <w:color w:val="00000A"/>
        </w:rPr>
        <w:t xml:space="preserve">4) принятие решений о развитии застроенных территорий; </w:t>
      </w:r>
    </w:p>
    <w:p>
      <w:pPr>
        <w:pStyle w:val="Default"/>
        <w:ind w:firstLine="709"/>
        <w:jc w:val="both"/>
        <w:rPr>
          <w:color w:val="00000A"/>
        </w:rPr>
      </w:pPr>
      <w:r>
        <w:rPr>
          <w:color w:val="00000A"/>
        </w:rPr>
        <w:t xml:space="preserve">5) строительный контроль в процессе строительства, реконструкции, капитального ремонта объектов капитального строительства; </w:t>
      </w:r>
    </w:p>
    <w:p>
      <w:pPr>
        <w:pStyle w:val="Default"/>
        <w:ind w:firstLine="709"/>
        <w:jc w:val="both"/>
        <w:rPr>
          <w:color w:val="00000A"/>
        </w:rPr>
      </w:pPr>
      <w:r>
        <w:rPr>
          <w:color w:val="00000A"/>
        </w:rPr>
        <w:t xml:space="preserve">6) осуществление государственного земельного надзора, муниципального земельного контроля в отношении расположенных в границах сельского поселения объектов земельных отношений, а также общественного земельного контроля; </w:t>
      </w:r>
    </w:p>
    <w:p>
      <w:pPr>
        <w:pStyle w:val="Default"/>
        <w:ind w:firstLine="709"/>
        <w:jc w:val="both"/>
        <w:rPr>
          <w:color w:val="00000A"/>
        </w:rPr>
      </w:pPr>
      <w:r>
        <w:rPr>
          <w:color w:val="00000A"/>
        </w:rPr>
        <w:t xml:space="preserve">7) иных вопросов, связанных с реализацией прав и обязанностей физических и юридических лиц, а также полномочий органов местного самоуправления в области регулирования отношений по вопросам землепользования и застройки. </w:t>
      </w:r>
    </w:p>
    <w:p>
      <w:pPr>
        <w:pStyle w:val="Default"/>
        <w:ind w:firstLine="709"/>
        <w:jc w:val="both"/>
        <w:rPr>
          <w:color w:val="00000A"/>
        </w:rPr>
      </w:pPr>
      <w:r>
        <w:rPr>
          <w:color w:val="00000A"/>
        </w:rPr>
        <w:t xml:space="preserve">4. Правила применяются совместно: </w:t>
      </w:r>
    </w:p>
    <w:p>
      <w:pPr>
        <w:pStyle w:val="Default"/>
        <w:ind w:firstLine="709"/>
        <w:jc w:val="both"/>
        <w:rPr>
          <w:color w:val="00000A"/>
        </w:rPr>
      </w:pPr>
      <w:r>
        <w:rPr>
          <w:color w:val="00000A"/>
        </w:rPr>
        <w:t xml:space="preserve">1) с техническими регламентами; </w:t>
      </w:r>
    </w:p>
    <w:p>
      <w:pPr>
        <w:pStyle w:val="Default"/>
        <w:ind w:firstLine="709"/>
        <w:jc w:val="both"/>
        <w:rPr>
          <w:color w:val="00000A"/>
        </w:rPr>
      </w:pPr>
      <w:r>
        <w:rPr>
          <w:color w:val="00000A"/>
        </w:rPr>
        <w:t xml:space="preserve">2) национальными стандартами; </w:t>
      </w:r>
    </w:p>
    <w:p>
      <w:pPr>
        <w:pStyle w:val="Default"/>
        <w:ind w:firstLine="709"/>
        <w:jc w:val="both"/>
        <w:rPr>
          <w:color w:val="00000A"/>
        </w:rPr>
      </w:pPr>
      <w:r>
        <w:rPr>
          <w:color w:val="00000A"/>
        </w:rPr>
        <w:t xml:space="preserve">3) санитарными правилами, нормами и нормативами; </w:t>
      </w:r>
    </w:p>
    <w:p>
      <w:pPr>
        <w:pStyle w:val="Default"/>
        <w:ind w:firstLine="709"/>
        <w:jc w:val="both"/>
        <w:rPr>
          <w:color w:val="00000A"/>
        </w:rPr>
      </w:pPr>
      <w:r>
        <w:rPr>
          <w:color w:val="00000A"/>
        </w:rPr>
        <w:t xml:space="preserve">4) с установленными ограничениями прав на использование территорий, земельных участков и объектов капитального строительства: </w:t>
      </w:r>
    </w:p>
    <w:p>
      <w:pPr>
        <w:pStyle w:val="Default"/>
        <w:ind w:firstLine="709"/>
        <w:jc w:val="both"/>
        <w:rPr>
          <w:color w:val="00000A"/>
        </w:rPr>
      </w:pPr>
      <w:r>
        <w:rPr>
          <w:color w:val="00000A"/>
        </w:rPr>
        <w:t xml:space="preserve">- особыми условиями использования территорий, земельных участков и ограничениями режима хозяйственной деятельности в границах территорий, земельных участков в случаях, установленных нормативными правовыми актами Российской Федерации; </w:t>
      </w:r>
    </w:p>
    <w:p>
      <w:pPr>
        <w:pStyle w:val="Default"/>
        <w:ind w:firstLine="709"/>
        <w:jc w:val="both"/>
        <w:rPr>
          <w:color w:val="00000A"/>
        </w:rPr>
      </w:pPr>
      <w:r>
        <w:rPr>
          <w:color w:val="00000A"/>
        </w:rPr>
        <w:t xml:space="preserve">- особыми условиями охраны окружающей среды, в том числе животного и растительного мира, памятников природы, объектов культурного наследия (памятников истории и культуры), археологических объектов, сохранения плодородного слоя почвы, естественной среды обитания, путей миграции диких животных; </w:t>
      </w:r>
    </w:p>
    <w:p>
      <w:pPr>
        <w:pStyle w:val="Default"/>
        <w:ind w:firstLine="709"/>
        <w:jc w:val="both"/>
        <w:rPr>
          <w:color w:val="00000A"/>
        </w:rPr>
      </w:pPr>
      <w:r>
        <w:rPr>
          <w:color w:val="00000A"/>
        </w:rPr>
        <w:t xml:space="preserve">- условия начала и завершения застройки или освоения земельного участка в течение установленных сроков по согласованному в установленном порядке проекту, строительства, ремонта или содержания автомобильной дороги (участка автомобильной дороги) при предоставлении прав на земельный участок, находящийся в государственной или муниципальной собственности; </w:t>
      </w:r>
    </w:p>
    <w:p>
      <w:pPr>
        <w:pStyle w:val="Default"/>
        <w:ind w:firstLine="709"/>
        <w:jc w:val="both"/>
        <w:rPr>
          <w:color w:val="00000A"/>
        </w:rPr>
      </w:pPr>
      <w:r>
        <w:rPr>
          <w:color w:val="00000A"/>
        </w:rPr>
        <w:t xml:space="preserve">- иными ограничениями использования территорий, земельных участков и объектов капитального строительства в случаях, установленных федеральными законами; </w:t>
      </w:r>
    </w:p>
    <w:p>
      <w:pPr>
        <w:pStyle w:val="Default"/>
        <w:ind w:firstLine="709"/>
        <w:jc w:val="both"/>
        <w:rPr>
          <w:color w:val="00000A"/>
        </w:rPr>
      </w:pPr>
      <w:r>
        <w:rPr>
          <w:color w:val="00000A"/>
        </w:rPr>
        <w:t xml:space="preserve">5) с нормативными правовыми актами Российской Федерации, Карачаево-Черкесской Республики, сельского поселения в области регулирования отношений по вопросам землепользования и застройки. </w:t>
      </w:r>
    </w:p>
    <w:p>
      <w:pPr>
        <w:pStyle w:val="Default"/>
        <w:ind w:firstLine="709"/>
        <w:jc w:val="both"/>
        <w:rPr>
          <w:color w:val="00000A"/>
        </w:rPr>
      </w:pPr>
      <w:r>
        <w:rPr>
          <w:color w:val="00000A"/>
        </w:rPr>
        <w:t xml:space="preserve">5. Правила включают в себя: </w:t>
      </w:r>
    </w:p>
    <w:p>
      <w:pPr>
        <w:pStyle w:val="Default"/>
        <w:ind w:firstLine="709"/>
        <w:jc w:val="both"/>
        <w:rPr>
          <w:color w:val="00000A"/>
        </w:rPr>
      </w:pPr>
      <w:r>
        <w:rPr>
          <w:color w:val="00000A"/>
        </w:rPr>
        <w:t xml:space="preserve">- РАЗДЕЛ I. Порядок применения Правил землепользования и застройки и внесения изменений в указанные Правила; </w:t>
      </w:r>
    </w:p>
    <w:p>
      <w:pPr>
        <w:pStyle w:val="Default"/>
        <w:ind w:firstLine="709"/>
        <w:jc w:val="both"/>
        <w:rPr>
          <w:color w:val="00000A"/>
        </w:rPr>
      </w:pPr>
      <w:r>
        <w:rPr>
          <w:color w:val="00000A"/>
        </w:rPr>
        <w:t xml:space="preserve">- РАЗДЕЛ II. Карта градостроительного зонирования; </w:t>
      </w:r>
    </w:p>
    <w:p>
      <w:pPr>
        <w:pStyle w:val="Default"/>
        <w:ind w:firstLine="709"/>
        <w:jc w:val="both"/>
        <w:rPr>
          <w:color w:val="00000A"/>
        </w:rPr>
      </w:pPr>
      <w:r>
        <w:rPr>
          <w:color w:val="00000A"/>
        </w:rPr>
        <w:t xml:space="preserve">- РАЗДЕЛ III. Градостроительные регламенты; </w:t>
      </w:r>
    </w:p>
    <w:p>
      <w:pPr>
        <w:pStyle w:val="Default"/>
        <w:ind w:firstLine="709"/>
        <w:jc w:val="both"/>
        <w:rPr>
          <w:color w:val="00000A"/>
        </w:rPr>
      </w:pPr>
      <w:r>
        <w:rPr>
          <w:color w:val="00000A"/>
        </w:rPr>
        <w:t xml:space="preserve">-РАЗДЕЛ IV. Территории, для которых градостроительные регламенты не устанавливаются. </w:t>
      </w:r>
    </w:p>
    <w:p>
      <w:pPr>
        <w:pStyle w:val="Default"/>
        <w:ind w:firstLine="709"/>
        <w:jc w:val="both"/>
        <w:rPr>
          <w:color w:val="00000A"/>
        </w:rPr>
      </w:pPr>
      <w:r>
        <w:rPr>
          <w:color w:val="00000A"/>
        </w:rPr>
        <w:t xml:space="preserve">6. РАЗДЕЛ I включает в себя положения: </w:t>
      </w:r>
    </w:p>
    <w:p>
      <w:pPr>
        <w:pStyle w:val="Default"/>
        <w:ind w:firstLine="709"/>
        <w:jc w:val="both"/>
        <w:rPr>
          <w:color w:val="00000A"/>
        </w:rPr>
      </w:pPr>
      <w:r>
        <w:rPr>
          <w:color w:val="00000A"/>
        </w:rPr>
        <w:t xml:space="preserve">- о регулировании землепользования и застройки органами местного самоуправления сельского поселения; </w:t>
      </w:r>
    </w:p>
    <w:p>
      <w:pPr>
        <w:pStyle w:val="Default"/>
        <w:ind w:firstLine="709"/>
        <w:jc w:val="both"/>
        <w:rPr>
          <w:color w:val="00000A"/>
        </w:rPr>
      </w:pPr>
      <w:r>
        <w:rPr>
          <w:color w:val="00000A"/>
        </w:rPr>
        <w:t xml:space="preserve">- об изменении видов разрешённого использования земельных участков и объектов капитального строительства физическими и юридическими лицами; </w:t>
      </w:r>
    </w:p>
    <w:p>
      <w:pPr>
        <w:pStyle w:val="Default"/>
        <w:ind w:firstLine="709"/>
        <w:jc w:val="both"/>
        <w:rPr>
          <w:color w:val="00000A"/>
        </w:rPr>
      </w:pPr>
      <w:r>
        <w:rPr>
          <w:color w:val="00000A"/>
        </w:rPr>
        <w:t xml:space="preserve">- о подготовке документации по планировке территории органами местного самоуправления сельского поселения; </w:t>
      </w:r>
    </w:p>
    <w:p>
      <w:pPr>
        <w:pStyle w:val="Default"/>
        <w:ind w:firstLine="709"/>
        <w:jc w:val="both"/>
        <w:rPr>
          <w:color w:val="00000A"/>
        </w:rPr>
      </w:pPr>
      <w:r>
        <w:rPr>
          <w:color w:val="00000A"/>
        </w:rPr>
        <w:t xml:space="preserve">- о проведении публичных слушаний по вопросам землепользования и застройки; </w:t>
      </w:r>
    </w:p>
    <w:p>
      <w:pPr>
        <w:pStyle w:val="Default"/>
        <w:ind w:firstLine="709"/>
        <w:jc w:val="both"/>
        <w:rPr>
          <w:color w:val="00000A"/>
        </w:rPr>
      </w:pPr>
      <w:r>
        <w:rPr>
          <w:color w:val="00000A"/>
        </w:rPr>
        <w:t xml:space="preserve">- о внесении изменений в Правила землепользования и застройки; </w:t>
      </w:r>
    </w:p>
    <w:p>
      <w:pPr>
        <w:pStyle w:val="Default"/>
        <w:ind w:firstLine="709"/>
        <w:jc w:val="both"/>
        <w:rPr>
          <w:color w:val="00000A"/>
        </w:rPr>
      </w:pPr>
      <w:r>
        <w:rPr>
          <w:color w:val="00000A"/>
        </w:rPr>
        <w:t xml:space="preserve">- о регулировании иных вопросов землепользования и застройки. </w:t>
      </w:r>
    </w:p>
    <w:p>
      <w:pPr>
        <w:pStyle w:val="Default"/>
        <w:ind w:firstLine="709"/>
        <w:jc w:val="both"/>
        <w:rPr>
          <w:color w:val="00000A"/>
        </w:rPr>
      </w:pPr>
      <w:r>
        <w:rPr>
          <w:color w:val="00000A"/>
        </w:rPr>
        <w:t xml:space="preserve">7. РАЗДЕЛ II содержит две карты: </w:t>
      </w:r>
    </w:p>
    <w:p>
      <w:pPr>
        <w:pStyle w:val="Default"/>
        <w:ind w:firstLine="709"/>
        <w:jc w:val="both"/>
        <w:rPr>
          <w:color w:val="00000A"/>
        </w:rPr>
      </w:pPr>
      <w:r>
        <w:rPr>
          <w:color w:val="00000A"/>
        </w:rPr>
        <w:t xml:space="preserve">1) карта градостроительного зонирования, на которой установлены границы территориальных зон и территорий, для которых градостроительные регламенты не устанавливаются; </w:t>
      </w:r>
    </w:p>
    <w:p>
      <w:pPr>
        <w:pStyle w:val="Default"/>
        <w:ind w:firstLine="709"/>
        <w:jc w:val="both"/>
        <w:rPr>
          <w:color w:val="00000A"/>
        </w:rPr>
      </w:pPr>
      <w:r>
        <w:rPr>
          <w:color w:val="00000A"/>
        </w:rPr>
        <w:t xml:space="preserve">2) карта зон с особыми условиями использования территорий, на которой отображены границы зон с особыми условиями использования территорий. </w:t>
      </w:r>
    </w:p>
    <w:p>
      <w:pPr>
        <w:pStyle w:val="Default"/>
        <w:ind w:firstLine="709"/>
        <w:jc w:val="both"/>
        <w:rPr>
          <w:color w:val="00000A"/>
        </w:rPr>
      </w:pPr>
      <w:r>
        <w:rPr>
          <w:color w:val="00000A"/>
        </w:rPr>
        <w:t xml:space="preserve">8. РАЗДЕЛ III содержит описание градостроительных регламентов по видам разрешённого использования земельных участков и объектов капитального строительства, предельным размерам земельных участков и предельным параметрам разрешённого строительства и реконструкции объектов капитального строительства, ограничениям использования земельных участков и объектов капитального строительства, устанавливаемым в соответствии с законодательством Российской Федерации. </w:t>
      </w:r>
    </w:p>
    <w:p>
      <w:pPr>
        <w:pStyle w:val="Default"/>
        <w:ind w:firstLine="709"/>
        <w:jc w:val="both"/>
        <w:rPr>
          <w:color w:val="00000A"/>
        </w:rPr>
      </w:pPr>
      <w:r>
        <w:rPr>
          <w:color w:val="00000A"/>
        </w:rPr>
        <w:t xml:space="preserve">9. РАЗДЕЛ IV содержит описание и порядок использования территорий, для которых градостроительные регламенты не устанавливаются. </w:t>
      </w:r>
    </w:p>
    <w:p>
      <w:pPr>
        <w:pStyle w:val="2"/>
        <w:jc w:val="both"/>
        <w:rPr>
          <w:rFonts w:ascii="Times New Roman" w:hAnsi="Times New Roman" w:cs="Times New Roman"/>
          <w:b/>
          <w:b/>
          <w:i/>
          <w:i/>
          <w:color w:val="00000A"/>
          <w:sz w:val="24"/>
          <w:szCs w:val="24"/>
        </w:rPr>
      </w:pPr>
      <w:bookmarkStart w:id="6" w:name="_Toc485621413"/>
      <w:r>
        <w:rPr>
          <w:rFonts w:cs="Times New Roman" w:ascii="Times New Roman" w:hAnsi="Times New Roman"/>
          <w:b/>
          <w:i/>
          <w:color w:val="00000A"/>
          <w:sz w:val="24"/>
          <w:szCs w:val="24"/>
        </w:rPr>
        <w:t>Статья 3. Субъекты и объекты градостроительных отношений</w:t>
      </w:r>
      <w:bookmarkEnd w:id="6"/>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Объектами градостроительных отношений в сельском поселении является его территория в границах, установленных Законом Карачаево-Черкесской Республики от 07.12.2004 №42-РЗ «Об установлении границ муниципальных образований на территории Урупского района и наделении их соответствующим статусом», а также земельные участки и объекты капитального строительства, расположенные на его территории. </w:t>
      </w:r>
    </w:p>
    <w:p>
      <w:pPr>
        <w:pStyle w:val="Default"/>
        <w:ind w:firstLine="709"/>
        <w:jc w:val="both"/>
        <w:rPr>
          <w:color w:val="00000A"/>
        </w:rPr>
      </w:pPr>
      <w:r>
        <w:rPr>
          <w:color w:val="00000A"/>
        </w:rPr>
        <w:t xml:space="preserve">2. Субъектами градостроительных отношений на территории сельского поселения являются: </w:t>
      </w:r>
    </w:p>
    <w:p>
      <w:pPr>
        <w:pStyle w:val="Default"/>
        <w:ind w:firstLine="709"/>
        <w:jc w:val="both"/>
        <w:rPr>
          <w:color w:val="00000A"/>
        </w:rPr>
      </w:pPr>
      <w:r>
        <w:rPr>
          <w:color w:val="00000A"/>
        </w:rPr>
        <w:t xml:space="preserve">1) органы государственной власти и органы местного самоуправления, и их должностные лица; </w:t>
      </w:r>
    </w:p>
    <w:p>
      <w:pPr>
        <w:pStyle w:val="Default"/>
        <w:ind w:firstLine="709"/>
        <w:jc w:val="both"/>
        <w:rPr>
          <w:color w:val="00000A"/>
        </w:rPr>
      </w:pPr>
      <w:r>
        <w:rPr>
          <w:color w:val="00000A"/>
        </w:rPr>
        <w:t xml:space="preserve">2) физические и юридические лица. </w:t>
      </w:r>
    </w:p>
    <w:p>
      <w:pPr>
        <w:pStyle w:val="2"/>
        <w:jc w:val="both"/>
        <w:rPr>
          <w:rFonts w:ascii="Times New Roman" w:hAnsi="Times New Roman" w:cs="Times New Roman"/>
          <w:b/>
          <w:b/>
          <w:i/>
          <w:i/>
          <w:color w:val="00000A"/>
          <w:sz w:val="24"/>
          <w:szCs w:val="24"/>
        </w:rPr>
      </w:pPr>
      <w:bookmarkStart w:id="7" w:name="_Toc485621414"/>
      <w:r>
        <w:rPr>
          <w:rFonts w:cs="Times New Roman" w:ascii="Times New Roman" w:hAnsi="Times New Roman"/>
          <w:b/>
          <w:i/>
          <w:color w:val="00000A"/>
          <w:sz w:val="24"/>
          <w:szCs w:val="24"/>
        </w:rPr>
        <w:t>Статья 4. Область применения Правил землепользования и застройки</w:t>
      </w:r>
      <w:bookmarkEnd w:id="7"/>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Правила распространяются на всю территорию сельского поселения. </w:t>
      </w:r>
    </w:p>
    <w:p>
      <w:pPr>
        <w:pStyle w:val="Default"/>
        <w:ind w:firstLine="709"/>
        <w:jc w:val="both"/>
        <w:rPr>
          <w:color w:val="00000A"/>
        </w:rPr>
      </w:pPr>
      <w:r>
        <w:rPr>
          <w:color w:val="00000A"/>
        </w:rPr>
        <w:t xml:space="preserve">2. Настоящие Правила обязательны для исполнения физическими и юридическими лицами, органами государственной власти и местного самоуправления, и их должностными лицами. </w:t>
      </w:r>
    </w:p>
    <w:p>
      <w:pPr>
        <w:pStyle w:val="2"/>
        <w:jc w:val="both"/>
        <w:rPr>
          <w:rFonts w:ascii="Times New Roman" w:hAnsi="Times New Roman" w:cs="Times New Roman"/>
          <w:b/>
          <w:b/>
          <w:i/>
          <w:i/>
          <w:color w:val="00000A"/>
          <w:sz w:val="24"/>
          <w:szCs w:val="24"/>
        </w:rPr>
      </w:pPr>
      <w:bookmarkStart w:id="8" w:name="_Toc485621415"/>
      <w:r>
        <w:rPr>
          <w:rFonts w:cs="Times New Roman" w:ascii="Times New Roman" w:hAnsi="Times New Roman"/>
          <w:b/>
          <w:i/>
          <w:color w:val="00000A"/>
          <w:sz w:val="24"/>
          <w:szCs w:val="24"/>
        </w:rPr>
        <w:t>Статья 5. Открытость и доступность информации о порядке землепользования и застройки</w:t>
      </w:r>
      <w:bookmarkEnd w:id="8"/>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Настоящие Правила, в том числе вносимые в них изменения, являются открытыми и общедоступными для всех физических и юридических лиц, должностных лиц органов власти, а также органов, осуществляющих контроль за соблюдением законодательства о градостроительной деятельности органами местного самоуправления. </w:t>
      </w:r>
    </w:p>
    <w:p>
      <w:pPr>
        <w:pStyle w:val="Default"/>
        <w:ind w:firstLine="709"/>
        <w:jc w:val="both"/>
        <w:rPr>
          <w:color w:val="00000A"/>
        </w:rPr>
      </w:pPr>
      <w:r>
        <w:rPr>
          <w:color w:val="00000A"/>
        </w:rPr>
        <w:t xml:space="preserve">2. Администрация Урупского муниципального района Карачаево-Черкесской Республики обеспечивает возможность ознакомления с Правилами путём их опубликования в средствах массовой информации и обеспечивает к ним доступ на странице Загеданского сельского поселения официального сайта администрации Урупского муниципального района Карачаево-Черкесской Республики с учётом законодательства Российской Федерации о государственной тайне в объёме и в порядке, которые установлены Правительством Российской Федерации. </w:t>
      </w:r>
    </w:p>
    <w:p>
      <w:pPr>
        <w:pStyle w:val="Default"/>
        <w:ind w:firstLine="709"/>
        <w:jc w:val="both"/>
        <w:rPr>
          <w:color w:val="00000A"/>
        </w:rPr>
      </w:pPr>
      <w:r>
        <w:rPr>
          <w:color w:val="00000A"/>
        </w:rPr>
        <w:t xml:space="preserve">3. Правила, в соответствии со ст.57 Градостроительного кодекса Российской Федерации, администрацией Урупского муниципального района размещаются в информационной системе обеспечения градостроительной деятельности. </w:t>
      </w:r>
    </w:p>
    <w:p>
      <w:pPr>
        <w:pStyle w:val="Default"/>
        <w:ind w:firstLine="709"/>
        <w:jc w:val="both"/>
        <w:rPr>
          <w:color w:val="00000A"/>
        </w:rPr>
      </w:pPr>
      <w:r>
        <w:rPr>
          <w:color w:val="00000A"/>
        </w:rPr>
        <w:t xml:space="preserve">4. К Правилам, в соответствии со ст.57.1 Градостроительного кодекса Российской Федерации, администрацией Урупского муниципального района Карачаево-Черкесской Республики обеспечивается доступ в федеральной государственной информационной системе территориального планирования (ФГИС ТП). </w:t>
      </w:r>
    </w:p>
    <w:p>
      <w:pPr>
        <w:pStyle w:val="2"/>
        <w:jc w:val="both"/>
        <w:rPr>
          <w:rFonts w:ascii="Times New Roman" w:hAnsi="Times New Roman" w:cs="Times New Roman"/>
          <w:b/>
          <w:b/>
          <w:i/>
          <w:i/>
          <w:color w:val="00000A"/>
          <w:sz w:val="24"/>
          <w:szCs w:val="24"/>
        </w:rPr>
      </w:pPr>
      <w:bookmarkStart w:id="9" w:name="_Toc485621416"/>
      <w:r>
        <w:rPr>
          <w:rFonts w:cs="Times New Roman" w:ascii="Times New Roman" w:hAnsi="Times New Roman"/>
          <w:b/>
          <w:i/>
          <w:color w:val="00000A"/>
          <w:sz w:val="24"/>
          <w:szCs w:val="24"/>
        </w:rPr>
        <w:t>Статья 6. Действие Правил землепользования и застройки по отношению к ранее возникшим правам</w:t>
      </w:r>
      <w:bookmarkEnd w:id="9"/>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Земельные участки, объекты капитального строительства, виды разрешённого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 (памятников истории и культуры). </w:t>
      </w:r>
    </w:p>
    <w:p>
      <w:pPr>
        <w:pStyle w:val="Default"/>
        <w:ind w:firstLine="709"/>
        <w:jc w:val="both"/>
        <w:rPr>
          <w:color w:val="00000A"/>
        </w:rPr>
      </w:pPr>
      <w:r>
        <w:rPr>
          <w:color w:val="00000A"/>
        </w:rPr>
        <w:t xml:space="preserve">2. Реконструкция указанных в части 1 настоящей статьи объектов капитального строительства может осуществляться только путём приведения таких объектов в соответствие с градостроительным регламентом или путём уменьшения их несоответствия предельным параметрам разрешённого строительства, реконструкции. Изменение видов разрешённого использования указанных земельных участков и объектов капитального строительства может осуществляться путём приведения их в соответствие с видами разрешённого использования земельных участков и объектов капитального строительства, установленными градостроительным регламентом. </w:t>
      </w:r>
    </w:p>
    <w:p>
      <w:pPr>
        <w:pStyle w:val="Default"/>
        <w:ind w:firstLine="709"/>
        <w:jc w:val="both"/>
        <w:rPr>
          <w:color w:val="00000A"/>
        </w:rPr>
      </w:pPr>
      <w:r>
        <w:rPr>
          <w:color w:val="00000A"/>
        </w:rPr>
        <w:t xml:space="preserve">3. 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(памятников истории и культуры), в соответствии с федеральными законами может быть наложен запрет на использование таких земельных участков и объектов. </w:t>
      </w:r>
    </w:p>
    <w:p>
      <w:pPr>
        <w:pStyle w:val="Default"/>
        <w:ind w:firstLine="709"/>
        <w:jc w:val="both"/>
        <w:rPr>
          <w:color w:val="00000A"/>
        </w:rPr>
      </w:pPr>
      <w:r>
        <w:rPr>
          <w:color w:val="00000A"/>
        </w:rPr>
        <w:t xml:space="preserve">4. Несоответствующий вид разрешённого использования земельного участка и объекта капитального строительства не может быть заменён на иной несоответствующий вид разрешённого использования земельного участка и объекта капитального строительства. </w:t>
      </w:r>
    </w:p>
    <w:p>
      <w:pPr>
        <w:pStyle w:val="Default"/>
        <w:ind w:firstLine="709"/>
        <w:jc w:val="both"/>
        <w:rPr>
          <w:color w:val="00000A"/>
        </w:rPr>
      </w:pPr>
      <w:r>
        <w:rPr>
          <w:color w:val="00000A"/>
        </w:rPr>
        <w:t xml:space="preserve">5. Действие Правил не распространяется на градостроительные планы земельных участков, выданные до вступления в силу настоящих Правил. Правообладатели земельных участков имеют право осуществить любое строительство в соответствии с видами разрешённого использования и предельными параметрами разрешённого строительства, реконструкции объектов капитального строительства, содержащимися в таком градостроительном плане земельного участка. </w:t>
      </w:r>
    </w:p>
    <w:p>
      <w:pPr>
        <w:pStyle w:val="Default"/>
        <w:ind w:firstLine="709"/>
        <w:jc w:val="both"/>
        <w:rPr>
          <w:color w:val="00000A"/>
        </w:rPr>
      </w:pPr>
      <w:r>
        <w:rPr>
          <w:color w:val="00000A"/>
        </w:rPr>
        <w:t xml:space="preserve">6. Разрешения на строительство, выданные до вступления в силу настоящих Правил, действуют вплоть до их изменения, истечения сроков их действия или наступления иных обстоятельств, прекращающих их действие. Указанные разрешения действуют также в случае продления сроков их действия или переоформления переуступки прав на строительство иным лицам в соответствии с законодательством Российской Федерации. </w:t>
      </w:r>
    </w:p>
    <w:p>
      <w:pPr>
        <w:pStyle w:val="Default"/>
        <w:ind w:firstLine="709"/>
        <w:jc w:val="both"/>
        <w:rPr>
          <w:color w:val="00000A"/>
        </w:rPr>
      </w:pPr>
      <w:r>
        <w:rPr>
          <w:color w:val="00000A"/>
        </w:rPr>
        <w:t xml:space="preserve">7. В случае, если перечень видов разрешённого использования и (или) наименование отдельного вида разрешённого использования, содержащиеся в Правилах, не соответствуют перечню видов разрешённого использования и (или) наименованию отдельного вида разрешённого использования, указанных в каком-либо правоустанавливающем или правоудостоверяющем документе, выданном в установленном порядке физическому и юридическому лицу до вступления в силу настоящих Правил, такой вид разрешённого использования признается действительным вне зависимости от его соответствия настоящим Правилам. </w:t>
      </w:r>
    </w:p>
    <w:p>
      <w:pPr>
        <w:pStyle w:val="Default"/>
        <w:ind w:firstLine="709"/>
        <w:jc w:val="both"/>
        <w:rPr>
          <w:color w:val="00000A"/>
        </w:rPr>
      </w:pPr>
      <w:r>
        <w:rPr>
          <w:color w:val="00000A"/>
        </w:rPr>
        <w:t xml:space="preserve">8. Обязательного переоформления указанных выше правовых документов не требуется. </w:t>
      </w:r>
    </w:p>
    <w:p>
      <w:pPr>
        <w:pStyle w:val="2"/>
        <w:jc w:val="both"/>
        <w:rPr>
          <w:rFonts w:ascii="Times New Roman" w:hAnsi="Times New Roman" w:cs="Times New Roman"/>
          <w:b/>
          <w:b/>
          <w:i/>
          <w:i/>
          <w:color w:val="00000A"/>
          <w:sz w:val="24"/>
          <w:szCs w:val="24"/>
        </w:rPr>
      </w:pPr>
      <w:bookmarkStart w:id="10" w:name="_Toc485621417"/>
      <w:r>
        <w:rPr>
          <w:rFonts w:cs="Times New Roman" w:ascii="Times New Roman" w:hAnsi="Times New Roman"/>
          <w:b/>
          <w:i/>
          <w:color w:val="00000A"/>
          <w:sz w:val="24"/>
          <w:szCs w:val="24"/>
        </w:rPr>
        <w:t>Статья 7. Действие Правил землепользования и застройки по отношению к документам территориального планирования, документации по планировке территории</w:t>
      </w:r>
      <w:bookmarkEnd w:id="10"/>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Правила разработаны на основе Генерального плана Загеданского сельского поселения Урупского муниципального района Карачаево-Черкесской Республики (далее - генеральный план поселения) с учётом требований технических регламентов, результатов публичных слушаний и предложений заинтересованных лиц. </w:t>
      </w:r>
    </w:p>
    <w:p>
      <w:pPr>
        <w:pStyle w:val="Default"/>
        <w:ind w:firstLine="709"/>
        <w:jc w:val="both"/>
        <w:rPr>
          <w:color w:val="00000A"/>
        </w:rPr>
      </w:pPr>
      <w:r>
        <w:rPr>
          <w:color w:val="00000A"/>
        </w:rPr>
        <w:t xml:space="preserve">2. В случае внесения в установленном порядке изменений в документы территориального планирования, соответствующие изменения вносятся в настоящие Правила. </w:t>
      </w:r>
    </w:p>
    <w:p>
      <w:pPr>
        <w:pStyle w:val="Default"/>
        <w:ind w:firstLine="709"/>
        <w:jc w:val="both"/>
        <w:rPr>
          <w:color w:val="00000A"/>
        </w:rPr>
      </w:pPr>
      <w:r>
        <w:rPr>
          <w:color w:val="00000A"/>
        </w:rPr>
        <w:t xml:space="preserve">3. Документация по планировке территории разрабатывается на основе генерального плана поселения, настоящих Правил и не должна им противоречить. </w:t>
      </w:r>
    </w:p>
    <w:p>
      <w:pPr>
        <w:pStyle w:val="Default"/>
        <w:ind w:firstLine="709"/>
        <w:jc w:val="both"/>
        <w:rPr>
          <w:color w:val="00000A"/>
        </w:rPr>
      </w:pPr>
      <w:r>
        <w:rPr>
          <w:color w:val="00000A"/>
        </w:rPr>
        <w:t xml:space="preserve">4. Со дня вступления в силу настоящих Правил не реализованная документация по планировке территории приводится в соответствие с настоящими Правилами. </w:t>
      </w:r>
    </w:p>
    <w:p>
      <w:pPr>
        <w:pStyle w:val="1"/>
        <w:jc w:val="both"/>
        <w:rPr>
          <w:rFonts w:ascii="Times New Roman" w:hAnsi="Times New Roman" w:cs="Times New Roman"/>
          <w:b/>
          <w:b/>
          <w:color w:val="00000A"/>
          <w:sz w:val="24"/>
          <w:szCs w:val="24"/>
        </w:rPr>
      </w:pPr>
      <w:bookmarkStart w:id="11" w:name="_Toc485621418"/>
      <w:r>
        <w:rPr>
          <w:rFonts w:cs="Times New Roman" w:ascii="Times New Roman" w:hAnsi="Times New Roman"/>
          <w:b/>
          <w:color w:val="00000A"/>
          <w:sz w:val="24"/>
          <w:szCs w:val="24"/>
        </w:rPr>
        <w:t>ГЛАВА 2. РЕГУЛИРОВАНИЕ ЗЕМЛЕПОЛЬЗОВАНИЯ И ЗАСТРОЙКИ</w:t>
      </w:r>
      <w:bookmarkEnd w:id="11"/>
      <w:r>
        <w:rPr>
          <w:rFonts w:cs="Times New Roman" w:ascii="Times New Roman" w:hAnsi="Times New Roman"/>
          <w:b/>
          <w:color w:val="00000A"/>
          <w:sz w:val="24"/>
          <w:szCs w:val="24"/>
        </w:rPr>
        <w:t xml:space="preserve"> </w:t>
      </w:r>
    </w:p>
    <w:p>
      <w:pPr>
        <w:pStyle w:val="2"/>
        <w:jc w:val="both"/>
        <w:rPr>
          <w:rFonts w:ascii="Times New Roman" w:hAnsi="Times New Roman" w:cs="Times New Roman"/>
          <w:b/>
          <w:b/>
          <w:i/>
          <w:i/>
          <w:color w:val="00000A"/>
          <w:sz w:val="24"/>
          <w:szCs w:val="24"/>
        </w:rPr>
      </w:pPr>
      <w:bookmarkStart w:id="12" w:name="_Toc485621419"/>
      <w:r>
        <w:rPr>
          <w:rFonts w:cs="Times New Roman" w:ascii="Times New Roman" w:hAnsi="Times New Roman"/>
          <w:b/>
          <w:i/>
          <w:color w:val="00000A"/>
          <w:sz w:val="24"/>
          <w:szCs w:val="24"/>
        </w:rPr>
        <w:t>Статья 8. Полномочия органов местного самоуправления в области регулирования отношений по вопросам землепользования и застройки</w:t>
      </w:r>
      <w:bookmarkEnd w:id="12"/>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Органами местного самоуправления, осуществляющими регулирование отношений по вопросам землепользования и застройки, являются: </w:t>
      </w:r>
    </w:p>
    <w:p>
      <w:pPr>
        <w:pStyle w:val="Default"/>
        <w:tabs>
          <w:tab w:val="left" w:pos="5245" w:leader="none"/>
        </w:tabs>
        <w:ind w:firstLine="709"/>
        <w:jc w:val="both"/>
        <w:rPr>
          <w:color w:val="00000A"/>
        </w:rPr>
      </w:pPr>
      <w:r>
        <w:rPr>
          <w:color w:val="00000A"/>
        </w:rPr>
        <w:t xml:space="preserve">1) органы местного самоуправления муниципального района: </w:t>
      </w:r>
    </w:p>
    <w:p>
      <w:pPr>
        <w:pStyle w:val="Default"/>
        <w:ind w:firstLine="709"/>
        <w:jc w:val="both"/>
        <w:rPr>
          <w:color w:val="00000A"/>
        </w:rPr>
      </w:pPr>
      <w:r>
        <w:rPr>
          <w:color w:val="00000A"/>
        </w:rPr>
        <w:t>- представительный орган Урупского муниципального района Карачаево-Черкесской Республики – Совет Урупского муниципального района Карачаево-Черкесской Республики;</w:t>
      </w:r>
    </w:p>
    <w:p>
      <w:pPr>
        <w:pStyle w:val="Default"/>
        <w:ind w:firstLine="709"/>
        <w:jc w:val="both"/>
        <w:rPr>
          <w:color w:val="00000A"/>
        </w:rPr>
      </w:pPr>
      <w:r>
        <w:rPr>
          <w:color w:val="00000A"/>
        </w:rPr>
        <w:t>- глава Урупского муниципального района Карачаево-Черкесской Республики (далее по тексту - глава муниципального района);</w:t>
      </w:r>
    </w:p>
    <w:p>
      <w:pPr>
        <w:pStyle w:val="Default"/>
        <w:ind w:firstLine="709"/>
        <w:jc w:val="both"/>
        <w:rPr>
          <w:color w:val="00000A"/>
        </w:rPr>
      </w:pPr>
      <w:r>
        <w:rPr>
          <w:color w:val="00000A"/>
        </w:rPr>
        <w:t>- исполнительно-распорядительный орган - администрация Урупского муниципального района Карачаево-Черкесской Республики (далее по тексту - администрация муниципального района);</w:t>
      </w:r>
    </w:p>
    <w:p>
      <w:pPr>
        <w:pStyle w:val="Default"/>
        <w:ind w:firstLine="709"/>
        <w:jc w:val="both"/>
        <w:rPr>
          <w:color w:val="00000A"/>
        </w:rPr>
      </w:pPr>
      <w:r>
        <w:rPr>
          <w:color w:val="00000A"/>
        </w:rPr>
        <w:t xml:space="preserve">2. В пределах своих полномочий представительный орган муниципального района: </w:t>
      </w:r>
    </w:p>
    <w:p>
      <w:pPr>
        <w:pStyle w:val="Default"/>
        <w:ind w:firstLine="709"/>
        <w:jc w:val="both"/>
        <w:rPr>
          <w:color w:val="00000A"/>
        </w:rPr>
      </w:pPr>
      <w:r>
        <w:rPr>
          <w:color w:val="00000A"/>
        </w:rPr>
        <w:t xml:space="preserve">1) инициирует и назначает публичные слушания по основаниям и в порядке, установленным решением Совета Урупского муниципального района Карачаево-Черкесской Республики; </w:t>
      </w:r>
    </w:p>
    <w:p>
      <w:pPr>
        <w:pStyle w:val="Default"/>
        <w:ind w:firstLine="709"/>
        <w:jc w:val="both"/>
        <w:rPr>
          <w:color w:val="00000A"/>
        </w:rPr>
      </w:pPr>
      <w:r>
        <w:rPr>
          <w:color w:val="00000A"/>
        </w:rPr>
        <w:t xml:space="preserve">2) утверждает Правила, в том числе вносимые в них изменения. </w:t>
      </w:r>
    </w:p>
    <w:p>
      <w:pPr>
        <w:pStyle w:val="Default"/>
        <w:ind w:firstLine="709"/>
        <w:jc w:val="both"/>
        <w:rPr>
          <w:color w:val="00000A"/>
        </w:rPr>
      </w:pPr>
      <w:r>
        <w:rPr>
          <w:color w:val="00000A"/>
        </w:rPr>
        <w:t>3. В пределах своих полномочий глава муниципального района:</w:t>
      </w:r>
    </w:p>
    <w:p>
      <w:pPr>
        <w:pStyle w:val="Default"/>
        <w:ind w:firstLine="709"/>
        <w:jc w:val="both"/>
        <w:rPr>
          <w:color w:val="00000A"/>
        </w:rPr>
      </w:pPr>
      <w:r>
        <w:rPr>
          <w:color w:val="00000A"/>
        </w:rPr>
        <w:t xml:space="preserve">1) инициирует публичные слушания по основаниям и в порядке, установленным решением Совета Урупского муниципального района Карачаево-Черкесской Республики; </w:t>
      </w:r>
    </w:p>
    <w:p>
      <w:pPr>
        <w:pStyle w:val="Default"/>
        <w:ind w:firstLine="709"/>
        <w:jc w:val="both"/>
        <w:rPr>
          <w:color w:val="00000A"/>
        </w:rPr>
      </w:pPr>
      <w:r>
        <w:rPr>
          <w:color w:val="00000A"/>
        </w:rPr>
        <w:t>2) обладает правом внесения в представительный орган муниципального района проектов муниципальных правовых актов.</w:t>
      </w:r>
    </w:p>
    <w:p>
      <w:pPr>
        <w:pStyle w:val="Default"/>
        <w:ind w:firstLine="709"/>
        <w:jc w:val="both"/>
        <w:rPr>
          <w:color w:val="00000A"/>
        </w:rPr>
      </w:pPr>
      <w:r>
        <w:rPr>
          <w:color w:val="00000A"/>
        </w:rPr>
        <w:t>4. В пределах своих полномочий администрация муниципального района в области регулирования отношений по вопросам землепользования и застройки:</w:t>
      </w:r>
    </w:p>
    <w:p>
      <w:pPr>
        <w:pStyle w:val="Default"/>
        <w:ind w:firstLine="709"/>
        <w:jc w:val="both"/>
        <w:rPr>
          <w:color w:val="00000A"/>
        </w:rPr>
      </w:pPr>
      <w:r>
        <w:rPr>
          <w:color w:val="00000A"/>
        </w:rPr>
        <w:t xml:space="preserve">1) принимает решение о подготовке проекта Правил, в том числе и о подготовке проекта внесения в них изменений, с установлением этапов градостроительного зонирования, а также порядка и сроков проведения работ по подготовке проекта Правил или проекта внесения в них изменений; иных положений, касающихся организации указанных работ; </w:t>
      </w:r>
    </w:p>
    <w:p>
      <w:pPr>
        <w:pStyle w:val="Default"/>
        <w:ind w:firstLine="709"/>
        <w:jc w:val="both"/>
        <w:rPr>
          <w:color w:val="00000A"/>
        </w:rPr>
      </w:pPr>
      <w:r>
        <w:rPr>
          <w:color w:val="00000A"/>
        </w:rPr>
        <w:t>2) утверждает состав и порядок деятельности комиссии по подготовке проекта правил землепользования и застройки;</w:t>
      </w:r>
    </w:p>
    <w:p>
      <w:pPr>
        <w:pStyle w:val="Default"/>
        <w:ind w:firstLine="709"/>
        <w:jc w:val="both"/>
        <w:rPr>
          <w:color w:val="00000A"/>
        </w:rPr>
      </w:pPr>
      <w:r>
        <w:rPr>
          <w:color w:val="00000A"/>
        </w:rPr>
        <w:t xml:space="preserve">3) рассматривает вопросы о внесении изменений в Правила; </w:t>
      </w:r>
    </w:p>
    <w:p>
      <w:pPr>
        <w:pStyle w:val="Default"/>
        <w:ind w:firstLine="709"/>
        <w:jc w:val="both"/>
        <w:rPr>
          <w:color w:val="00000A"/>
        </w:rPr>
      </w:pPr>
      <w:r>
        <w:rPr>
          <w:color w:val="00000A"/>
        </w:rPr>
        <w:t>4) принимает решение о предоставлении разрешения на условно разрешённый вид использования земельного участка или объекта капитального строительства, либо об отказе в предоставлении такого разрешения;</w:t>
      </w:r>
    </w:p>
    <w:p>
      <w:pPr>
        <w:pStyle w:val="Default"/>
        <w:ind w:firstLine="709"/>
        <w:jc w:val="both"/>
        <w:rPr>
          <w:color w:val="00000A"/>
        </w:rPr>
      </w:pPr>
      <w:r>
        <w:rPr>
          <w:color w:val="00000A"/>
        </w:rPr>
        <w:t xml:space="preserve">5) принимает решение о предоставлении разрешения на отклонение от предельных параметров разрешённого строительства, реконструкции объектов капитального строительства, либо об отказе в предоставлении такого разрешения с указанием причин принятого решения; </w:t>
      </w:r>
    </w:p>
    <w:p>
      <w:pPr>
        <w:pStyle w:val="Default"/>
        <w:ind w:firstLine="709"/>
        <w:jc w:val="both"/>
        <w:rPr>
          <w:color w:val="00000A"/>
        </w:rPr>
      </w:pPr>
      <w:r>
        <w:rPr>
          <w:color w:val="00000A"/>
        </w:rPr>
        <w:t xml:space="preserve">6) принимает решения об установлении публичных сервитутов; </w:t>
      </w:r>
    </w:p>
    <w:p>
      <w:pPr>
        <w:pStyle w:val="Default"/>
        <w:ind w:firstLine="709"/>
        <w:jc w:val="both"/>
        <w:rPr>
          <w:color w:val="00000A"/>
        </w:rPr>
      </w:pPr>
      <w:r>
        <w:rPr>
          <w:color w:val="00000A"/>
        </w:rPr>
        <w:t xml:space="preserve">7) возглавляя администрацию муниципального района принимает решения по иным вопросам землепользования и застройки, не относящиеся к ведению представительного органа муниципального района. </w:t>
      </w:r>
    </w:p>
    <w:p>
      <w:pPr>
        <w:pStyle w:val="Default"/>
        <w:ind w:firstLine="709"/>
        <w:jc w:val="both"/>
        <w:rPr>
          <w:color w:val="00000A"/>
        </w:rPr>
      </w:pPr>
      <w:r>
        <w:rPr>
          <w:color w:val="00000A"/>
        </w:rPr>
        <w:t xml:space="preserve">8) осуществляет проверку проекта Правил или проекта внесения в них изменений, представленного комиссией по подготовке проекта Правил землепользования и застройки Загеданского сельского поселения Урупского муниципального района Карачаево-Черкесской Республики, на соответствие требованиям технических регламентов, генеральному плану поселения, схеме территориального планирования Урупского района Карачаево-Черкесской Республики, схеме территориального планирования Карачаево-Черкесской Республики, схемам территориального планирования Российской Федерации; </w:t>
      </w:r>
    </w:p>
    <w:p>
      <w:pPr>
        <w:pStyle w:val="Default"/>
        <w:ind w:firstLine="709"/>
        <w:jc w:val="both"/>
        <w:rPr>
          <w:color w:val="00000A"/>
        </w:rPr>
      </w:pPr>
      <w:r>
        <w:rPr>
          <w:color w:val="00000A"/>
        </w:rPr>
        <w:t xml:space="preserve">9) по результатам указанной в </w:t>
      </w:r>
      <w:r>
        <w:rPr>
          <w:b/>
          <w:bCs/>
          <w:color w:val="00000A"/>
        </w:rPr>
        <w:t xml:space="preserve">пункте 1 </w:t>
      </w:r>
      <w:r>
        <w:rPr>
          <w:color w:val="00000A"/>
        </w:rPr>
        <w:t xml:space="preserve">настоящей части проверки направляет проект Правил или проект внесения в них изменений главе муниципального района или в случае обнаружения его несоответствия требованиям и документам, указанным в </w:t>
      </w:r>
      <w:r>
        <w:rPr>
          <w:b/>
          <w:bCs/>
          <w:color w:val="00000A"/>
        </w:rPr>
        <w:t xml:space="preserve">пункте 1 </w:t>
      </w:r>
      <w:r>
        <w:rPr>
          <w:color w:val="00000A"/>
        </w:rPr>
        <w:t>настоящей части в комиссию по подготовке проекта Правил землепользования и застройки Загеданского сельского поселения Урупского муниципального района Карачаево-Черкесской Республики на доработку.</w:t>
      </w:r>
    </w:p>
    <w:p>
      <w:pPr>
        <w:pStyle w:val="Default"/>
        <w:ind w:firstLine="709"/>
        <w:jc w:val="both"/>
        <w:rPr>
          <w:color w:val="00000A"/>
        </w:rPr>
      </w:pPr>
      <w:r>
        <w:rPr>
          <w:color w:val="00000A"/>
        </w:rPr>
        <w:t xml:space="preserve">4. Органами местного самоуправления осуществляются иные полномочия, предусмотренные федеральными законами, иными нормативными правовыми актами Российской Федерации, нормативными правовыми актами Карачаево-Черкесской Республики, Уставом муниципального района, иными нормативными правовыми актами органов местного самоуправления, а также настоящими Правилами. </w:t>
      </w:r>
    </w:p>
    <w:p>
      <w:pPr>
        <w:pStyle w:val="2"/>
        <w:jc w:val="both"/>
        <w:rPr>
          <w:rFonts w:ascii="Times New Roman" w:hAnsi="Times New Roman" w:cs="Times New Roman"/>
          <w:b/>
          <w:b/>
          <w:i/>
          <w:i/>
          <w:color w:val="00000A"/>
          <w:sz w:val="24"/>
          <w:szCs w:val="24"/>
        </w:rPr>
      </w:pPr>
      <w:bookmarkStart w:id="13" w:name="_Toc485621420"/>
      <w:r>
        <w:rPr>
          <w:rFonts w:cs="Times New Roman" w:ascii="Times New Roman" w:hAnsi="Times New Roman"/>
          <w:b/>
          <w:i/>
          <w:color w:val="00000A"/>
          <w:sz w:val="24"/>
          <w:szCs w:val="24"/>
        </w:rPr>
        <w:t>Статья 9. Комиссия по подготовке проекта Правил землепользования и застройки Загеданского сельского поселения Урупского муниципального района Карачаево-Черкесской Республики</w:t>
      </w:r>
      <w:bookmarkEnd w:id="13"/>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Комиссия по подготовке проекта Правил землепользования и застройки Загеданского сельского поселения Урупского муниципального района Карачаево-Черкесской Республики (далее - Комиссия) создаётся в соответствии с требованиями ст.31 Градостроительного кодекса Российской Федерации и осуществляет свою деятельность в соответствии с Конституцией Российской Федерации, законодательством Российской Федерации и Карачаево-Черкесской Республики, нормативными правовыми актами муниципального района, Положением о Комиссии. </w:t>
      </w:r>
    </w:p>
    <w:p>
      <w:pPr>
        <w:pStyle w:val="Default"/>
        <w:ind w:firstLine="709"/>
        <w:jc w:val="both"/>
        <w:rPr>
          <w:color w:val="00000A"/>
        </w:rPr>
      </w:pPr>
      <w:r>
        <w:rPr>
          <w:color w:val="00000A"/>
        </w:rPr>
        <w:t xml:space="preserve">2. Комиссия осуществляет свою деятельность на безвозмездной основе. </w:t>
      </w:r>
    </w:p>
    <w:p>
      <w:pPr>
        <w:pStyle w:val="Default"/>
        <w:ind w:firstLine="709"/>
        <w:jc w:val="both"/>
        <w:rPr>
          <w:color w:val="00000A"/>
        </w:rPr>
      </w:pPr>
      <w:r>
        <w:rPr>
          <w:color w:val="00000A"/>
        </w:rPr>
        <w:t xml:space="preserve">3. Комиссия осуществляет свою деятельность в форме заседаний, в том числе проводимых в порядке публичных слушаний. </w:t>
      </w:r>
    </w:p>
    <w:p>
      <w:pPr>
        <w:pStyle w:val="Default"/>
        <w:ind w:firstLine="709"/>
        <w:jc w:val="both"/>
        <w:rPr>
          <w:color w:val="00000A"/>
        </w:rPr>
      </w:pPr>
      <w:r>
        <w:rPr>
          <w:color w:val="00000A"/>
        </w:rPr>
        <w:t xml:space="preserve">4. Заседания Комиссии могут проводиться в порядке публичных слушаний, которые являются открытыми для всех заинтересованных лиц. </w:t>
      </w:r>
    </w:p>
    <w:p>
      <w:pPr>
        <w:pStyle w:val="Default"/>
        <w:ind w:firstLine="709"/>
        <w:jc w:val="both"/>
        <w:rPr>
          <w:color w:val="00000A"/>
        </w:rPr>
      </w:pPr>
      <w:r>
        <w:rPr>
          <w:color w:val="00000A"/>
        </w:rPr>
        <w:t xml:space="preserve">5. Периодичность заседаний определяется председателем Комиссии. </w:t>
      </w:r>
    </w:p>
    <w:p>
      <w:pPr>
        <w:pStyle w:val="Default"/>
        <w:ind w:firstLine="709"/>
        <w:jc w:val="both"/>
        <w:rPr>
          <w:color w:val="00000A"/>
        </w:rPr>
      </w:pPr>
      <w:r>
        <w:rPr>
          <w:color w:val="00000A"/>
        </w:rPr>
        <w:t xml:space="preserve">6. Решения Комиссии принимаются простым большинством голосов при наличии кворума не менее двух третей от общего числа членов комиссии. При равенстве голосов голос председателя Комиссии является решающим. </w:t>
      </w:r>
    </w:p>
    <w:p>
      <w:pPr>
        <w:pStyle w:val="Default"/>
        <w:ind w:firstLine="709"/>
        <w:jc w:val="both"/>
        <w:rPr>
          <w:color w:val="00000A"/>
        </w:rPr>
      </w:pPr>
      <w:r>
        <w:rPr>
          <w:color w:val="00000A"/>
        </w:rPr>
        <w:t xml:space="preserve">7. Итоги каждого заседания оформляются подписанным председателем и секретарем Комиссии протоколом, к которому могут прилагаться копии материалов, связанных с темой заседания. </w:t>
      </w:r>
    </w:p>
    <w:p>
      <w:pPr>
        <w:pStyle w:val="2"/>
        <w:jc w:val="both"/>
        <w:rPr>
          <w:rFonts w:ascii="Times New Roman" w:hAnsi="Times New Roman" w:cs="Times New Roman"/>
          <w:b/>
          <w:b/>
          <w:i/>
          <w:i/>
          <w:color w:val="00000A"/>
          <w:sz w:val="24"/>
          <w:szCs w:val="24"/>
        </w:rPr>
      </w:pPr>
      <w:bookmarkStart w:id="14" w:name="_Toc485621421"/>
      <w:r>
        <w:rPr>
          <w:rFonts w:cs="Times New Roman" w:ascii="Times New Roman" w:hAnsi="Times New Roman"/>
          <w:b/>
          <w:i/>
          <w:color w:val="00000A"/>
          <w:sz w:val="24"/>
          <w:szCs w:val="24"/>
        </w:rPr>
        <w:t>Статья 10. Полномочия комиссии по подготовке проекта Правил землепользования и застройки Загеданского сельского поселения Урупского муниципального района Карачаево-Черкесской Республики</w:t>
      </w:r>
      <w:bookmarkEnd w:id="14"/>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Подготовка рекомендаций главе муниципального района по вопросам подготовки проекта Правил или проекта внесения в них изменений, предоставления разрешений на условно разрешённый вид использования земельных участков или объектов капитального строительства, на отклонение от предельных параметров разрешённого строительства, реконструкции объектов капитального строительства. </w:t>
      </w:r>
    </w:p>
    <w:p>
      <w:pPr>
        <w:pStyle w:val="Default"/>
        <w:ind w:firstLine="709"/>
        <w:jc w:val="both"/>
        <w:rPr>
          <w:color w:val="00000A"/>
        </w:rPr>
      </w:pPr>
      <w:r>
        <w:rPr>
          <w:color w:val="00000A"/>
        </w:rPr>
        <w:t xml:space="preserve">2. Рассмотрение предложений органов власти, в случаях, определённых ч.3 ст.33 Градостроительного кодекса Российской Федерации, физических или юридических лиц в связи с подготовкой проекта Правил или проекта внесения в них изменений, предоставлением разрешений на условно разрешённый вид использования земельных участков или объектов капитального строительства, отклонением от предельных параметров разрешённого строительства, реконструкции объектов капитального строительства. </w:t>
      </w:r>
    </w:p>
    <w:p>
      <w:pPr>
        <w:pStyle w:val="Default"/>
        <w:ind w:firstLine="709"/>
        <w:jc w:val="both"/>
        <w:rPr>
          <w:color w:val="00000A"/>
        </w:rPr>
      </w:pPr>
      <w:r>
        <w:rPr>
          <w:color w:val="00000A"/>
        </w:rPr>
        <w:t xml:space="preserve">3. Организация и проведение публичных слушаний по рассмотрению проекта Правил или проекта внесения в них изменений, вопросов предоставления разрешений на условно разрешённый вид использования земельных участков или объектов капитального строительства, отклонения от предельных параметров разрешённого строительства, реконструкции объектов капитального строительства. </w:t>
      </w:r>
    </w:p>
    <w:p>
      <w:pPr>
        <w:pStyle w:val="Default"/>
        <w:ind w:firstLine="709"/>
        <w:jc w:val="both"/>
        <w:rPr>
          <w:color w:val="00000A"/>
        </w:rPr>
      </w:pPr>
      <w:r>
        <w:rPr>
          <w:color w:val="00000A"/>
        </w:rPr>
        <w:t>4. Подготовка протоколов публичных слушаний, заключений о результатах публичных слушаний.</w:t>
      </w:r>
      <w:r>
        <w:rPr>
          <w:b/>
          <w:bCs/>
          <w:color w:val="00000A"/>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5. После завершения публичных слушаний по проекту Правил или проекту внесения в них изменений Комиссия с учётом результатов таких слушаний обеспечивает внесение изменений в проект Правил или проект внесения в них изменений и представляет указанный проект главе муниципального района.</w:t>
      </w:r>
    </w:p>
    <w:p>
      <w:pPr>
        <w:pStyle w:val="2"/>
        <w:jc w:val="both"/>
        <w:rPr>
          <w:rFonts w:ascii="Times New Roman" w:hAnsi="Times New Roman" w:cs="Times New Roman"/>
          <w:b/>
          <w:b/>
          <w:i/>
          <w:i/>
          <w:color w:val="00000A"/>
          <w:sz w:val="24"/>
          <w:szCs w:val="24"/>
        </w:rPr>
      </w:pPr>
      <w:bookmarkStart w:id="15" w:name="_Toc485621422"/>
      <w:r>
        <w:rPr>
          <w:rFonts w:cs="Times New Roman" w:ascii="Times New Roman" w:hAnsi="Times New Roman"/>
          <w:b/>
          <w:i/>
          <w:color w:val="00000A"/>
          <w:sz w:val="24"/>
          <w:szCs w:val="24"/>
        </w:rPr>
        <w:t>Статья 11. Образование земельных участков из земель или земельных участков, находящихся в государственной или муниципальной собственности</w:t>
      </w:r>
      <w:bookmarkEnd w:id="15"/>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Образование земельных участков из земель или земельных участков, находящихся в государственной или муниципальной собственности, осуществляется в соответствии с одним из следующих документов: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проект межевания территории, утверждённый в соответствии с Градостроительным кодексом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утверждённая схема расположения земельного участка или земельных участков на кадастровом плане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Образование земельных участков из земель или земельных участков, находящихся в государственной или муниципальной собственности, допускается в соответствии с утверждённой схемой расположения земельного участка или земельных участков на кадастровом плане территории при отсутствии утверждённого проекта межевания территории с учётом положений, предусмотренных частью 3 настоящей статьи.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Исключительно в соответствии с утверждённым проектом межевания территории осуществляется образование земельных участков: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из земельного участка, предоставленного для комплексного освоения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из земельного участка, предоставленного некоммерческой организации, созданной гражданами, для ведения садоводства, огородничества, дачного хозяйства либо для ведения дачного хозяйства иным юридическим лицам;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 границах территории, в отношении которой в соответствии с законодательством о градостроительной деятельности заключен договор о её развитии;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в границах элемента планировочной структуры, застроенного многоквартирными домами;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для размещения линейных объектов федерального, регионального или местного значения.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Не допускается образование земельного участка, границы которого пересекают границы территориальных зон, за исключением земельного участка, образуемого для проведения работ по геологическому изучению недр, разработки месторождений полезных ископаемых, размещения линейных объектов, гидротехнических сооружений, а также водохранилищ, иных искусственных водных объектов. </w:t>
      </w:r>
    </w:p>
    <w:p>
      <w:pPr>
        <w:pStyle w:val="2"/>
        <w:jc w:val="both"/>
        <w:rPr>
          <w:rFonts w:ascii="Times New Roman" w:hAnsi="Times New Roman" w:cs="Times New Roman"/>
          <w:b/>
          <w:b/>
          <w:i/>
          <w:i/>
          <w:color w:val="00000A"/>
          <w:sz w:val="24"/>
          <w:szCs w:val="24"/>
        </w:rPr>
      </w:pPr>
      <w:bookmarkStart w:id="16" w:name="_Toc485621423"/>
      <w:r>
        <w:rPr>
          <w:rFonts w:cs="Times New Roman" w:ascii="Times New Roman" w:hAnsi="Times New Roman"/>
          <w:b/>
          <w:i/>
          <w:color w:val="00000A"/>
          <w:sz w:val="24"/>
          <w:szCs w:val="24"/>
        </w:rPr>
        <w:t>Статья 12. Предоставление земельных участков, находящихся в муниципальной собственности</w:t>
      </w:r>
      <w:bookmarkEnd w:id="16"/>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Предоставление земельных участков, находящихся в муниципальной собственности, осуществляется: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в собственность, в аренду, в постоянное (бессрочное) пользование или в безвозмездное пользование;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на торгах или без проведения торгов;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за плату или бесплатно;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без предварительного согласования или с предварительным согласованием предоставления земельного участка.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Порядок предоставления земельных участков, находящихся в муниципальной собственности, установлен земельным законодательством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Земельные участки, находящиеся в государственной или муниципальной собственности, предоставляются на основании: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решения органа государственной власти или органа местного самоуправления в случае предоставления земельного участка в собственность бесплатно или в постоянное (бессрочное) пользование;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договора купли-продажи в случае предоставления земельного участка в собственность за плату;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договора аренды в случае предоставления земельного участка в аренду;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договора безвозмездного пользования в случае предоставления земельного участка в безвозмездное пользование.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Продажа находящихся в государственной или муниципальной собственности земельных участков, в соответствии с основным видом разрешённого использования которых предусмотрено строительство зданий, сооружений, не допускается, за исключением случаев, указанных в части 4 настоящей статьи, а также случаев проведения аукционов по продаже таких земельных участков в соответствии со ст.39.18 Земельного кодекса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Без проведения торгов осуществляется продажа: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земельных участков, образованных из земельного участка, предоставленного в аренду для комплексного освоения территории (за исключением земельных участков, образованных из земельного участка, предоставленного юридическому лицу, заключившему договор о комплексном освоении территории в целях строительства жилья экономического класса, в аренду для комплексного освоения территории в целях строительства такого жилья), лицу, с которым в соответствии с Градостроительным кодексом Российской Федерации заключен договор о комплексном освоении территории, если иное не предусмотрено подпунктами 2 и 4 настоящей части;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земельных участков, образованных из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 (за исключением земельных участков, отнесенных к имуществу общего пользования), членам этой некоммерческой организации или, если это предусмотрено решением общего собрания членов этой некоммерческой организации, этой некоммерческой организации;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земельных участков, образованных из земельного участка, предоставленного некоммерческой организации, созданной гражданами, для ведения садоводства, огородничества, дачного хозяйства (за исключением земельных участков, отнесённых к имуществу общего пользования), членам этой некоммерческой организации;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земельных участков, образованных в результате раздела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 и относящегося к имуществу общего пользования, этой некоммерческой организации;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земельных участков, образованных в результате раздела земельного участка, предоставленного юридическому лицу для ведения дачного хозяйства и относящегося к имуществу общего пользования, указанному юридическому лицу;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земельных участков, на которых расположены здания, сооружения, собственникам таких зданий, сооружений либо помещений в них в случаях, предусмотренных частью 5 настоящей статьи;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земельных участков, находящихся в постоянном (бессрочном) пользовании юридических лиц, указанным юридическим лицам, за исключением лиц, указанных в части 6 настоящей статьи;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земельных участков крестьянскому (фермерскому) хозяйству или сельскохозяйственной организации в случаях, установленных Федеральным законом от 24.07.2002 №101-ФЗ «Об обороте земель сельскохозяйственного назначения»;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9) земельных участков, предназначенных для ведения сельскохозяйственного производства и переданных в аренду гражданину или юридическому лицу, этому гражданину или этому юридическому лицу по истечении трёх лет с момента заключения договора аренды с этим гражданином или этим юридическим лицом либо передачи прав и обязанностей по договору аренды земельного участка этому гражданину или этому юридическому лицу при условии надлежащего использования такого земельного участка в случае, если этим гражданином или этим юридическим лицом заявление о заключении договора купли-продажи такого земельного участка без проведения торгов подано до дня истечения срока указанного договора аренды земельного участка;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10) земельных участков гражданам для индивидуального жилищного строительства, ведения личного подсобного хозяйства в границах населённого пункта, садоводства, дачного хозяйства, гражданам или крестьянским (фермерским) хозяйствам для осуществления крестьянским (фермерским) хозяйством его деятельности в соответствии со ст.39.18 Земельного кодекса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Если иное не установлено законодательством Российской Федерации, исключительное право на приобретение земельных участков в собственность или в аренду имеют физические или юридические лица, являющиеся собственниками зданий, сооружений, расположенных на таких земельных участках.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Земельные участки, находящиеся в государственной или муниципальной собственности, предоставляются в постоянное (бессрочное) пользование исключительно: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органам государственной власти и органам местного самоуправления;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государственным и муниципальным учреждениям (бюджетным, казённым, автономным);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казённым предприятиям;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центрам исторического наследия президентов Российской Федерации, прекративших исполнение своих полномочий.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Использование земель или земельных участков, находящихся в государственной или муниципальной собственности, за исключением земельных участков, предоставленных физическим или юридическим лицам, может осуществляться без предоставления земельных участков и установления сервитута в следующих случаях: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проведение инженерных изысканий;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капитальный или текущий ремонт линейного объекта;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строительство временных или вспомогательных сооружений (включая ограждения, бытовки, навесы), складирование строительных и иных материалов, техники для обеспечения строительства, реконструкции линейных объектов федерального, регионального или местного значения;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осуществление геологического изучения недр;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размещение нестационарных торговых объектов, рекламных конструкций, а также иных объектов, виды которых устанавливаются Правительством Российской Федерации. </w:t>
      </w:r>
    </w:p>
    <w:p>
      <w:pPr>
        <w:pStyle w:val="2"/>
        <w:jc w:val="both"/>
        <w:rPr>
          <w:rFonts w:ascii="Times New Roman" w:hAnsi="Times New Roman" w:cs="Times New Roman"/>
          <w:b/>
          <w:b/>
          <w:i/>
          <w:i/>
          <w:color w:val="00000A"/>
          <w:sz w:val="24"/>
          <w:szCs w:val="24"/>
        </w:rPr>
      </w:pPr>
      <w:bookmarkStart w:id="17" w:name="_Toc485621424"/>
      <w:r>
        <w:rPr>
          <w:rFonts w:cs="Times New Roman" w:ascii="Times New Roman" w:hAnsi="Times New Roman"/>
          <w:b/>
          <w:i/>
          <w:color w:val="00000A"/>
          <w:sz w:val="24"/>
          <w:szCs w:val="24"/>
        </w:rPr>
        <w:t>Статья 13. Обмен земельного участка, находящегося в муниципальной собственности, на земельный участок, находящийся в частной собственности</w:t>
      </w:r>
      <w:bookmarkEnd w:id="17"/>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Обмен земельного участка, находящегося в муниципальной собственности, на земельный участок, находящийся в частной собственности, допускается при обмене: 1) земельного участка, находящегося в муниципальной собственности, на земельный участок, находящийся в частной собственности и изымаемый для муниципальных нужд;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земельного участка, находящегося в муниципальной собственности, на земельный участок, который находится в частной собственности и предназначен в соответствии с утверждёнными проектом планировки территории и проектом межевания территории для размещения объекта социальной инфраструктуры и (или) социального обслуживания (если размещение объекта социальной инфраструктуры и (или) социального обслуживания необходимо для соблюдения региональных (областных) и (или) местных нормативов градостроительного проектирования), объектов инженерной и транспортной инфраструктур или на котором расположены указанные объекты.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Порядок и условия заключения договора мены земельного участка, находящегося в муниципальной собственности, на земельный участок, находящийся в частной собственности, устанавливаются гражданским и земельным законодательством Российской Федерации. </w:t>
      </w:r>
    </w:p>
    <w:p>
      <w:pPr>
        <w:pStyle w:val="2"/>
        <w:jc w:val="both"/>
        <w:rPr>
          <w:rFonts w:ascii="Times New Roman" w:hAnsi="Times New Roman" w:cs="Times New Roman"/>
          <w:b/>
          <w:b/>
          <w:i/>
          <w:i/>
          <w:color w:val="00000A"/>
          <w:sz w:val="24"/>
          <w:szCs w:val="24"/>
        </w:rPr>
      </w:pPr>
      <w:bookmarkStart w:id="18" w:name="_Toc485621425"/>
      <w:r>
        <w:rPr>
          <w:rFonts w:cs="Times New Roman" w:ascii="Times New Roman" w:hAnsi="Times New Roman"/>
          <w:b/>
          <w:i/>
          <w:color w:val="00000A"/>
          <w:sz w:val="24"/>
          <w:szCs w:val="24"/>
        </w:rPr>
        <w:t>Статья 14. Изъятие земельных участков и резервирование земель для муниципальных нужд</w:t>
      </w:r>
      <w:bookmarkEnd w:id="18"/>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Изъятие земельных участков для муниципальных нужд осуществляется в исключительных случаях по основаниям, связанным с: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выполнением международных договоров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строительством, реконструкцией следующих объектов местного значения поселения при отсутствии других возможных вариантов строительства, реконструкции этих объектов: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объекты систем электро-, газоснабжения, объекты систем теплоснабжения, объекты централизованных систем горячего водоснабжения, холодного водоснабжения и (или) водоотведения местного значения;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автомобильные дороги местного значения;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иными основаниями, предусмотренными федеральными законами.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Изъятие земельных участков для муниципальных нужд в целях строительства, реконструкции объектов местного значения поселения допускается, если указанные объекты предусмотрены генеральным планом поселения и утверждёнными проектами планировки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Принятие решения об изъятии земельных участков для муниципальных нужд в целях, не предусмотренных частью 2 настоящей статьи, должно быть обосновано: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международным договором Российской Федерации (в случае изъятия земельных участков для выполнения международного договора);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лицензией на пользование недрами (в случае изъятия земельных участков для проведения работ, связанных с пользованием недрами, в том числе осуществляемых за счёт средств недропользователя);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решением о признании многоквартирного дома аварийным и подлежащим сносу или реконструкции (в случае изъятия земельного участка в связи с признанием расположенного на таком земельном участке многоквартирного дома аварийным и подлежащим сносу или реконструкции).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Решение об изъятии земельных участков для муниципальных нужд для строительства, реконструкции объектов местного значения поселения может быть принято не позднее чем в течение трёх лет со дня утверждения проекта планировки территории, предусматривающего размещение таких объектов.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Резервирование земель для муниципальных нужд осуществляется в случаях, предусмотренных частью 1 настоящей статьи, а земель, находящихся в муниципальной собственности и не предоставленных физическим и юридическим лицам, также в случаях, связанных с размещением объектов инженерной, транспортной и социальной инфраструктур, и (или) социального обслуживания, строительством водохранилищ и иных искусственных водных объектов. Резервирование земель может осуществляться также в отношении земельных участков, необходимых для целей недропользования.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Земли для муниципальных нужд могут резервироваться на срок не более чем три года. Допускается резервирование земель, находящихся в муниципальной собственности и не предоставленных физическим и юридическим лицам, для строительства и реконструкции автомобильных дорог местного значения и других линейных объектов местного значения поселения на срок до двадцати лет.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Порядок изъятия земельных участков и резервирования земель для муниципальных нужд определяется земельным законодательством и Правительством Российской Федерации. </w:t>
      </w:r>
    </w:p>
    <w:p>
      <w:pPr>
        <w:pStyle w:val="2"/>
        <w:jc w:val="both"/>
        <w:rPr>
          <w:rFonts w:ascii="Times New Roman" w:hAnsi="Times New Roman" w:cs="Times New Roman"/>
          <w:b/>
          <w:b/>
          <w:i/>
          <w:i/>
          <w:color w:val="00000A"/>
          <w:sz w:val="24"/>
          <w:szCs w:val="24"/>
        </w:rPr>
      </w:pPr>
      <w:bookmarkStart w:id="19" w:name="_Toc485621426"/>
      <w:r>
        <w:rPr>
          <w:rFonts w:cs="Times New Roman" w:ascii="Times New Roman" w:hAnsi="Times New Roman"/>
          <w:b/>
          <w:i/>
          <w:color w:val="00000A"/>
          <w:sz w:val="24"/>
          <w:szCs w:val="24"/>
        </w:rPr>
        <w:t>Статья 15. Договоры о развитии и освоении территории</w:t>
      </w:r>
      <w:bookmarkEnd w:id="19"/>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Договор о развитии застроенной территории, договор о комплексном освоении территории, договор об освоении территории в целях строительства жилья экономического класса, договор о комплексном освоении территории в целях строительства жилья экономического класса, договор об освоении территории в целях строительства и эксплуатации наёмного дома социального использования, договор об освоении территории в целях строительства и эксплуатации наёмного дома коммерческого использования заключаются в соответствии с градостроительным, гражданским и земельным законодательством Российской Федерации. </w:t>
      </w:r>
    </w:p>
    <w:p>
      <w:pPr>
        <w:pStyle w:val="2"/>
        <w:jc w:val="both"/>
        <w:rPr>
          <w:rFonts w:ascii="Times New Roman" w:hAnsi="Times New Roman" w:cs="Times New Roman"/>
          <w:b/>
          <w:b/>
          <w:i/>
          <w:i/>
          <w:color w:val="00000A"/>
          <w:sz w:val="24"/>
          <w:szCs w:val="24"/>
        </w:rPr>
      </w:pPr>
      <w:bookmarkStart w:id="20" w:name="_Toc485621427"/>
      <w:r>
        <w:rPr>
          <w:rFonts w:cs="Times New Roman" w:ascii="Times New Roman" w:hAnsi="Times New Roman"/>
          <w:b/>
          <w:i/>
          <w:color w:val="00000A"/>
          <w:sz w:val="24"/>
          <w:szCs w:val="24"/>
        </w:rPr>
        <w:t>Статья 16. Государственный земельный надзор, муниципальный земельный контроль, общественный земельный контроль</w:t>
      </w:r>
      <w:bookmarkEnd w:id="20"/>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На территории сельского поселения осуществляется государственный земельный надзор, муниципальный земельный контроль и общественный земельный контроль за использованием земель.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Предметом проверок при осуществлении государственного земельного надзора является соблюдение в отношении объектов земельных отношений органами государственной власти, органами местного самоуправления, юридическими лицами, индивидуальными предпринимателями, гражданами требований земельного законодательства Российской Федерации, за нарушение которых законодательством Российской Федерации предусмотрена ответственность.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Муниципальный земельный контроль осуществляется в соответствии с законодательством Российской Федерации, Законом Карачаево-Черкесской Республики от 29.03.2016 №65 «Об утверждении Порядка осуществления муниципального земельного контроля на территории Карачаево-Черкесской Республики», в порядке, установленном нормативными правовыми актами администрации Урупского муниципального района Карачаево-Черкесской Республики.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Общественный земельный контроль осуществляется в соответствии с законодательством Российской Федерации. </w:t>
      </w:r>
    </w:p>
    <w:p>
      <w:pPr>
        <w:pStyle w:val="Normal"/>
        <w:keepNext/>
        <w:keepLines/>
        <w:widowControl w:val="false"/>
        <w:numPr>
          <w:ilvl w:val="0"/>
          <w:numId w:val="0"/>
        </w:numPr>
        <w:spacing w:lineRule="auto" w:line="240" w:before="0" w:after="0"/>
        <w:outlineLvl w:val="1"/>
        <w:rPr>
          <w:rFonts w:ascii="Times New Roman" w:hAnsi="Times New Roman" w:eastAsia="Calibri" w:cs="Times New Roman"/>
          <w:b/>
          <w:b/>
          <w:bCs/>
          <w:i/>
          <w:i/>
          <w:sz w:val="24"/>
          <w:szCs w:val="24"/>
          <w:lang w:eastAsia="ar-SA" w:bidi="ru-RU"/>
        </w:rPr>
      </w:pPr>
      <w:bookmarkStart w:id="21" w:name="_Toc484865810"/>
      <w:bookmarkStart w:id="22" w:name="_Toc485621428"/>
      <w:r>
        <w:rPr>
          <w:rFonts w:eastAsia="Times New Roman" w:cs="Times New Roman" w:ascii="Times New Roman" w:hAnsi="Times New Roman"/>
          <w:b/>
          <w:bCs/>
          <w:i/>
          <w:sz w:val="24"/>
          <w:szCs w:val="24"/>
          <w:lang w:bidi="ru-RU"/>
        </w:rPr>
        <w:t xml:space="preserve">Статья 17. </w:t>
      </w:r>
      <w:bookmarkEnd w:id="21"/>
      <w:bookmarkEnd w:id="22"/>
      <w:r>
        <w:rPr>
          <w:rFonts w:eastAsia="Calibri" w:cs="Times New Roman" w:ascii="Times New Roman" w:hAnsi="Times New Roman"/>
          <w:b/>
          <w:bCs/>
          <w:i/>
          <w:sz w:val="24"/>
          <w:szCs w:val="24"/>
          <w:lang w:eastAsia="ar-SA" w:bidi="ru-RU"/>
        </w:rPr>
        <w:t>Комплексное и устойчивое развитие территории</w:t>
      </w:r>
    </w:p>
    <w:p>
      <w:pPr>
        <w:pStyle w:val="Normal"/>
        <w:spacing w:lineRule="auto" w:line="240" w:before="0" w:after="0"/>
        <w:ind w:firstLine="567"/>
        <w:jc w:val="both"/>
        <w:rPr>
          <w:rFonts w:ascii="Times New Roman" w:hAnsi="Times New Roman" w:eastAsia="Times New Roman" w:cs="Times New Roman"/>
          <w:sz w:val="24"/>
          <w:szCs w:val="24"/>
        </w:rPr>
      </w:pPr>
      <w:r>
        <w:rPr>
          <w:rFonts w:cs="Times New Roman" w:ascii="Times New Roman" w:hAnsi="Times New Roman"/>
          <w:sz w:val="24"/>
          <w:szCs w:val="24"/>
        </w:rPr>
        <w:t>Территорий, в границах которых допускается осуществление деятельности по комплексному и устойчивому развитию, на территории сельского поселения не предусматривается.</w:t>
      </w:r>
    </w:p>
    <w:p>
      <w:pPr>
        <w:pStyle w:val="1"/>
        <w:jc w:val="both"/>
        <w:rPr>
          <w:rFonts w:ascii="Times New Roman" w:hAnsi="Times New Roman" w:cs="Times New Roman"/>
          <w:b/>
          <w:b/>
          <w:color w:val="00000A"/>
          <w:sz w:val="24"/>
          <w:szCs w:val="24"/>
        </w:rPr>
      </w:pPr>
      <w:bookmarkStart w:id="23" w:name="_Toc485621429"/>
      <w:r>
        <w:rPr>
          <w:rFonts w:cs="Times New Roman" w:ascii="Times New Roman" w:hAnsi="Times New Roman"/>
          <w:b/>
          <w:color w:val="00000A"/>
          <w:sz w:val="24"/>
          <w:szCs w:val="24"/>
        </w:rPr>
        <w:t>ГЛАВА 3. ИЗМЕНЕНИЕ ВИДОВ РАЗРЕШЁННОГО ИСПОЛЬЗОВАНИЯ ЗЕМЕЛЬНЫХ УЧАСТКОВ И ОБЪЕКТОВ КАПИТАЛЬНОГО СТРОИТЕЛЬСТВА ФИЗИЧЕСКИМИ И ЮРИДИЧЕСКИМИ ЛИЦАМИ</w:t>
      </w:r>
      <w:bookmarkEnd w:id="23"/>
      <w:r>
        <w:rPr>
          <w:rFonts w:cs="Times New Roman" w:ascii="Times New Roman" w:hAnsi="Times New Roman"/>
          <w:b/>
          <w:color w:val="00000A"/>
          <w:sz w:val="24"/>
          <w:szCs w:val="24"/>
        </w:rPr>
        <w:t xml:space="preserve"> </w:t>
      </w:r>
    </w:p>
    <w:p>
      <w:pPr>
        <w:pStyle w:val="2"/>
        <w:jc w:val="both"/>
        <w:rPr>
          <w:rFonts w:ascii="Times New Roman" w:hAnsi="Times New Roman" w:cs="Times New Roman"/>
          <w:b/>
          <w:b/>
          <w:i/>
          <w:i/>
          <w:color w:val="00000A"/>
          <w:sz w:val="24"/>
          <w:szCs w:val="24"/>
        </w:rPr>
      </w:pPr>
      <w:bookmarkStart w:id="24" w:name="_Toc485621430"/>
      <w:r>
        <w:rPr>
          <w:rFonts w:cs="Times New Roman" w:ascii="Times New Roman" w:hAnsi="Times New Roman"/>
          <w:b/>
          <w:i/>
          <w:color w:val="00000A"/>
          <w:sz w:val="24"/>
          <w:szCs w:val="24"/>
        </w:rPr>
        <w:t>Статья 18. Виды разрешённого использования земельных участков и объектов капитального строительства</w:t>
      </w:r>
      <w:bookmarkEnd w:id="24"/>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Для каждого земельного участка и объекта капитального строительства, расположенного в границах сельского поселения, разрешённым считается такое использование, которое соответствует: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градостроительному регламенту территориальной зоны;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ограничениям использования земельных участков и объектов капитального строительства, устанавливаемым в соответствии с законодательством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Градостроительный регламент в части видов разрешённого использования земельных участков и объектов капитального строительства включает: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основные виды разрешённого использования;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условно разрешённые виды использования;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вспомогательные виды разрешённого использования.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Виды разрешённого использования земельных участков и объектов капитального строительства, содержащиеся в градостроительных регламентах настоящих Правил, установлены в соответствии с классификатором видов разрешённого использования земельных участков, утверждённым приказом Министерства экономического развития Российской Федерации от 01.09.2014 №540 «Об утверждении классификатора видов разрешённого использования земельных участков» (далее по тексту - Классификатор).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Каждый вид разрешённого использования имеет следующую структуру: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код (числовое обозначение) вида разрешённого использования;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наименование вида разрешённого использования (текстовое).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Текстовое наименование вида разрешённого использования и его код (числовое обозначение) являются равнозначными.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Применительно к каждой территориальной зоне Правил установлены только те виды разрешённого использования из Классификатора, которые допустимы в данной территориальной зоне.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Содержание видов разрешённого использования допускает без отдельного указания в градостроительном регламенте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если законодательством Российской Федерации не установлено иное.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Вспомогательные виды разрешённого использования, допустимы только в качестве дополнительных по отношению к основным видам разрешённого использования и условно разрешённым видам использования и осуществляемые совместно с ними.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При отсутствии на земельном участке основного или условно разрешённого вида использования вспомогательный вид разрешённого использования самостоятельным не является и считается не разрешённым, если иное специально не оговаривается настоящими Правилами.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Для каждой территориальной зоны устанавливаются несколько видов разрешённого использования земельных участков 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9. Основные и вспомогательные виды разрешённого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 с учётом соблюдения требований технических регламентов, санитарных правил, норм и нормативов, публичных сервитутов, предельных параметров разрешённого строительства и реконструкции,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территорий и другими требованиями, установленными в соответствии с законодательством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10. Применение правообладателями земельных участков и объектов капитального строительства, указанных в градостроительном регламенте вспомогательных видов разрешённого использования объектов капитального строительства осуществляется: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если параметры вспомогательных видов разрешённого использования объектов капитального строительства определены в соответствии с проектом планировки территории и указаны в градостроительном плане земельного участка;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если применение вспомогательного вида разрешённого использования объекта капитального строительства планируется исключительно в целях обеспечения функционирования, эксплуатации, инженерного обеспечения, обслуживания расположенных на этом земельном участке объектов капитального строительства основных и (или) условно разрешённых видов использования.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11.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w:t>
      </w:r>
      <w:r>
        <w:rPr>
          <w:rFonts w:cs="Times New Roman" w:ascii="Times New Roman" w:hAnsi="Times New Roman"/>
          <w:b/>
          <w:bCs/>
          <w:sz w:val="24"/>
          <w:szCs w:val="24"/>
        </w:rPr>
        <w:t>ст.21 настоящих Правил</w:t>
      </w:r>
      <w:r>
        <w:rPr>
          <w:rFonts w:cs="Times New Roman" w:ascii="Times New Roman" w:hAnsi="Times New Roman"/>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12. Предоставление разрешения на отклонение от предельных параметров разрешённого строительства, реконструкции объектов капитального строительства осуществляется в порядке, предусмотренном </w:t>
      </w:r>
      <w:r>
        <w:rPr>
          <w:rFonts w:cs="Times New Roman" w:ascii="Times New Roman" w:hAnsi="Times New Roman"/>
          <w:b/>
          <w:bCs/>
          <w:sz w:val="24"/>
          <w:szCs w:val="24"/>
        </w:rPr>
        <w:t>ст.23 настоящих Правил</w:t>
      </w:r>
      <w:r>
        <w:rPr>
          <w:rFonts w:cs="Times New Roman" w:ascii="Times New Roman" w:hAnsi="Times New Roman"/>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13.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 </w:t>
      </w:r>
    </w:p>
    <w:p>
      <w:pPr>
        <w:pStyle w:val="2"/>
        <w:jc w:val="both"/>
        <w:rPr>
          <w:rFonts w:ascii="Times New Roman" w:hAnsi="Times New Roman" w:cs="Times New Roman"/>
          <w:b/>
          <w:b/>
          <w:i/>
          <w:i/>
          <w:color w:val="00000A"/>
          <w:sz w:val="24"/>
          <w:szCs w:val="24"/>
        </w:rPr>
      </w:pPr>
      <w:bookmarkStart w:id="25" w:name="_Toc485621431"/>
      <w:r>
        <w:rPr>
          <w:rFonts w:cs="Times New Roman" w:ascii="Times New Roman" w:hAnsi="Times New Roman"/>
          <w:b/>
          <w:i/>
          <w:color w:val="00000A"/>
          <w:sz w:val="24"/>
          <w:szCs w:val="24"/>
        </w:rPr>
        <w:t>Статья 19. Разрешённое использование земельных участков и объектов, не являющихся объектами капитального строительства</w:t>
      </w:r>
      <w:bookmarkEnd w:id="25"/>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Объекты, не являющиеся объектами капитального строительства (далее - некапитальные объекты) могут быть основными разрешёнными видами использования земельных участков для любой территориальной зоны при условии соответствия их размещения требованиям нормативных документов, технических регламентов и решений органов местного самоуправления, регулирующими порядок размещения таких объектов, за исключением случаев, предусмотренных </w:t>
      </w:r>
      <w:r>
        <w:rPr>
          <w:rFonts w:cs="Times New Roman" w:ascii="Times New Roman" w:hAnsi="Times New Roman"/>
          <w:b/>
          <w:bCs/>
          <w:sz w:val="24"/>
          <w:szCs w:val="24"/>
        </w:rPr>
        <w:t xml:space="preserve">частью 2 </w:t>
      </w:r>
      <w:r>
        <w:rPr>
          <w:rFonts w:cs="Times New Roman" w:ascii="Times New Roman" w:hAnsi="Times New Roman"/>
          <w:sz w:val="24"/>
          <w:szCs w:val="24"/>
        </w:rPr>
        <w:t xml:space="preserve">настоящей статьи.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Нестационарные торговые объекты могут быть основными разрешёнными видами использования земельных участков для любой территориальной зоны при условии, что их размещение осуществляется в соответствии с Федеральным </w:t>
      </w:r>
      <w:r>
        <w:rPr>
          <w:rFonts w:cs="Times New Roman" w:ascii="Times New Roman" w:hAnsi="Times New Roman"/>
          <w:bCs/>
          <w:sz w:val="24"/>
          <w:szCs w:val="24"/>
        </w:rPr>
        <w:t xml:space="preserve">законом </w:t>
      </w:r>
      <w:r>
        <w:rPr>
          <w:rFonts w:cs="Times New Roman" w:ascii="Times New Roman" w:hAnsi="Times New Roman"/>
          <w:sz w:val="24"/>
          <w:szCs w:val="24"/>
        </w:rPr>
        <w:t xml:space="preserve">от 28.12.2009 №381-ФЗ «Об основах государственного регулирования торговой деятельности в Российской Федерации» и решениями органов местного самоуправления, регулирующими порядок размещения таких объектов. </w:t>
      </w:r>
    </w:p>
    <w:p>
      <w:pPr>
        <w:pStyle w:val="2"/>
        <w:jc w:val="both"/>
        <w:rPr>
          <w:rFonts w:ascii="Times New Roman" w:hAnsi="Times New Roman" w:cs="Times New Roman"/>
          <w:b/>
          <w:b/>
          <w:i/>
          <w:i/>
          <w:color w:val="00000A"/>
          <w:sz w:val="24"/>
          <w:szCs w:val="24"/>
        </w:rPr>
      </w:pPr>
      <w:bookmarkStart w:id="26" w:name="_Toc485621432"/>
      <w:r>
        <w:rPr>
          <w:rFonts w:cs="Times New Roman" w:ascii="Times New Roman" w:hAnsi="Times New Roman"/>
          <w:b/>
          <w:i/>
          <w:color w:val="00000A"/>
          <w:sz w:val="24"/>
          <w:szCs w:val="24"/>
        </w:rPr>
        <w:t>Статья 20. 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регламента</w:t>
      </w:r>
      <w:bookmarkEnd w:id="26"/>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градостроительных регламентов, осуществляется в соответствии с градостроительными регламентами при условии соблюдения требований технических регламентов, санитарных правил, норм и нормативов,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территорий, положений документации по планировке территории, других требований законодательства Российской Федерации и с учётом публичных сервитутов.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Правообладатели земельных участков и объектов капитального строительства, за исключением указанных в </w:t>
      </w:r>
      <w:r>
        <w:rPr>
          <w:rFonts w:cs="Times New Roman" w:ascii="Times New Roman" w:hAnsi="Times New Roman"/>
          <w:b/>
          <w:bCs/>
          <w:sz w:val="24"/>
          <w:szCs w:val="24"/>
        </w:rPr>
        <w:t>ч.9 ст.18 настоящих Правил</w:t>
      </w:r>
      <w:r>
        <w:rPr>
          <w:rFonts w:cs="Times New Roman" w:ascii="Times New Roman" w:hAnsi="Times New Roman"/>
          <w:sz w:val="24"/>
          <w:szCs w:val="24"/>
        </w:rPr>
        <w:t xml:space="preserve">, осуществляют изменения видов разрешённого использования земельных участков 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без дополнительных согласований и разрешений в случаях: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когда один из указанных в градостроительном регламенте основных видов разрешённого использования заменяется другим основным видом разрешённого использования, при этом изменения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когда один из указанных в градостроительном регламенте вспомогательных видов разрешённого использования заменяется другим вспомогательным или основным видом разрешённого использования, при этом изменения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при условии получения соответствующих разрешений, согласований в случаях: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если строительные намерения физических и юридических лиц относятся к условно разрешённым видам использования;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если размеры земельных участков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земельных участков неблагоприятны для застройки;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установленных законодательством при осуществлении перепланировки помещений, конструктивных и инженерно-технических изменений объектов капитального строительства, в том числе в области обеспечения санитарно-эпидемиологического благополучия населения, противопожарной безопасности.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Изменение основного вида разрешённого использования на вспомогательный вид разрешённого использования допускается только в случае, если на земельном участке реализован какой-либо иной основной вид разрешённого использования.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Изменение видов разрешённого использования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при переводе помещений из категории жилых помещений в категорию нежилых помещений или из категории нежилых помещений в категорию жилых помещений осуществляется в соответствии с жилищным законодательством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при строительстве, реконструкции объектов капитального строительства осуществляется в соответствии с требованиями, указанными в </w:t>
      </w:r>
      <w:r>
        <w:rPr>
          <w:rFonts w:cs="Times New Roman" w:ascii="Times New Roman" w:hAnsi="Times New Roman"/>
          <w:b/>
          <w:bCs/>
          <w:sz w:val="24"/>
          <w:szCs w:val="24"/>
        </w:rPr>
        <w:t>части 1 настоящей статьи</w:t>
      </w:r>
      <w:r>
        <w:rPr>
          <w:rFonts w:cs="Times New Roman" w:ascii="Times New Roman" w:hAnsi="Times New Roman"/>
          <w:sz w:val="24"/>
          <w:szCs w:val="24"/>
        </w:rPr>
        <w:t xml:space="preserve">, законодательства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при строительстве, реконструкции органами государственной власти, органами местного самоуправления, государственными и муниципальными учреждениями, государственными и муниципальными унитарными предприятиями осуществляется в соответствии с требованиями, указанными в </w:t>
      </w:r>
      <w:r>
        <w:rPr>
          <w:rFonts w:cs="Times New Roman" w:ascii="Times New Roman" w:hAnsi="Times New Roman"/>
          <w:b/>
          <w:bCs/>
          <w:sz w:val="24"/>
          <w:szCs w:val="24"/>
        </w:rPr>
        <w:t>части 1 настоящей статьи</w:t>
      </w:r>
      <w:r>
        <w:rPr>
          <w:rFonts w:cs="Times New Roman" w:ascii="Times New Roman" w:hAnsi="Times New Roman"/>
          <w:sz w:val="24"/>
          <w:szCs w:val="24"/>
        </w:rPr>
        <w:t xml:space="preserve">, законодательства Российской Федерации. </w:t>
      </w:r>
    </w:p>
    <w:p>
      <w:pPr>
        <w:pStyle w:val="2"/>
        <w:jc w:val="both"/>
        <w:rPr>
          <w:rFonts w:ascii="Times New Roman" w:hAnsi="Times New Roman" w:cs="Times New Roman"/>
          <w:b/>
          <w:b/>
          <w:i/>
          <w:i/>
          <w:color w:val="00000A"/>
          <w:sz w:val="24"/>
          <w:szCs w:val="24"/>
        </w:rPr>
      </w:pPr>
      <w:bookmarkStart w:id="27" w:name="_Toc485621433"/>
      <w:r>
        <w:rPr>
          <w:rFonts w:cs="Times New Roman" w:ascii="Times New Roman" w:hAnsi="Times New Roman"/>
          <w:b/>
          <w:i/>
          <w:color w:val="00000A"/>
          <w:sz w:val="24"/>
          <w:szCs w:val="24"/>
        </w:rPr>
        <w:t>Статья 21. Порядок предоставления разрешения на условно разрешённый вид использования земельного участка или объекта капитального строительства</w:t>
      </w:r>
      <w:bookmarkEnd w:id="27"/>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Физическое или юридическое лицо, заинтересованное в предоставлении разрешения на условно разрешённый вид использования земельного участка или объекта капитального строительства (далее - разрешение на условно разрешённый вид использования), направляет заявление о предоставлении разрешения на условно разрешённый вид использования в Комиссию.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Разрешение на условно разрешённый вид использования предоставляется в порядке, определяемом ст.39 Градостроительного кодекса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Порядок организации и проведения публичных слушаний определяется Уставом сельского поселения и (или) нормативными правовыми актами представительного органа сельского поселения с учётом положений ст.39 Градостроительного кодекса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 случае если условно разрешённый вид использования земельного участка или объекта капитального строительства включён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разрешённый вид использования, решение о предоставлении разрешения на условно разрешённый вид использования такому лицу принимается без проведения публичных слушаний.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Физическое или юридическое лицо вправе оспорить в судебном порядке решение о предоставлении разрешения на условно разрешённый вид использования или об отказе в предоставлении такого разрешения. </w:t>
      </w:r>
    </w:p>
    <w:p>
      <w:pPr>
        <w:pStyle w:val="2"/>
        <w:jc w:val="both"/>
        <w:rPr>
          <w:rFonts w:ascii="Times New Roman" w:hAnsi="Times New Roman" w:cs="Times New Roman"/>
          <w:b/>
          <w:b/>
          <w:i/>
          <w:i/>
          <w:color w:val="00000A"/>
          <w:sz w:val="24"/>
          <w:szCs w:val="24"/>
        </w:rPr>
      </w:pPr>
      <w:bookmarkStart w:id="28" w:name="_Toc485621434"/>
      <w:r>
        <w:rPr>
          <w:rFonts w:cs="Times New Roman" w:ascii="Times New Roman" w:hAnsi="Times New Roman"/>
          <w:b/>
          <w:i/>
          <w:color w:val="00000A"/>
          <w:sz w:val="24"/>
          <w:szCs w:val="24"/>
        </w:rPr>
        <w:t>Статья 22. Общие требования градостроительного регламента в части предельных размеров земельных участков и предельных параметров разрешённого строительства, реконструкции объектов капитального строительства</w:t>
      </w:r>
      <w:bookmarkEnd w:id="28"/>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 включают в себя: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предельные (минимальные и (или) максимальные) размеры земельных участков, в том числе их площадь;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этажность или предельную высоту зданий, строений, сооружений;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иные показатели.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Предельные (минимальные и (или) максимальные) размеры земельных участков, в том числе их площадь, и предусмотренные частью 1 настоящей статьи предельные параметры разрешённого строительства, реконструкции объектов капитального строительства устанавливаются применительно к каждой территориальной зоне, выделенной на карте градостроительного зонирования.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 случае, если в градостроительном регламенте применительно к определённой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частью 1 настоящей статьи предельные параметры разрешённого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разрешённого строительства, реконструкции объектов капитального строительства не подлежат ограничению.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Предельные (максимальные и минимальные) размеры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определяются в соответствии с земельным законодательством Российской Федерации, другими федеральными законами.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устанавливаются в соответствии с требованиями технических регламентов, сводов правил, санитарных правил, норм и нормативов, гигиенических требований, с учётом ограничений использования земельных участков и объектов капитального строительства в зонах с особыми условиями использования территорий, а также с учётом сложившейся застройки. </w:t>
      </w:r>
    </w:p>
    <w:p>
      <w:pPr>
        <w:pStyle w:val="2"/>
        <w:jc w:val="both"/>
        <w:rPr>
          <w:rFonts w:ascii="Times New Roman" w:hAnsi="Times New Roman" w:cs="Times New Roman"/>
          <w:b/>
          <w:b/>
          <w:i/>
          <w:i/>
          <w:color w:val="00000A"/>
          <w:sz w:val="24"/>
          <w:szCs w:val="24"/>
        </w:rPr>
      </w:pPr>
      <w:bookmarkStart w:id="29" w:name="_Toc485621435"/>
      <w:r>
        <w:rPr>
          <w:rFonts w:cs="Times New Roman" w:ascii="Times New Roman" w:hAnsi="Times New Roman"/>
          <w:b/>
          <w:i/>
          <w:color w:val="00000A"/>
          <w:sz w:val="24"/>
          <w:szCs w:val="24"/>
        </w:rPr>
        <w:t>Статья 23.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bookmarkEnd w:id="29"/>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разрешённого строительства, реконструкции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Заинтересованное в получении разрешения на отклонение от предельных параметров разрешённого строительства, реконструкции объектов капитального строительства лицо направляет в Комиссию заявление о предоставлении такого разрешения.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Отклонение от предельных параметров разрешённого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Разрешение на отклонение от предельных параметров, предоставляется в порядке, определённом ст.40 Градостроительного кодекса Российской Федерации, нормативными правовыми актами сельского поселения.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Физическое или юридическое лицо вправе оспорить в судебном порядке решение о предоставлении разрешения на отклонение от предельных параметров разрешённого строительства, реконструкции объектов капитального строительства или об отказе в предоставлении такого разрешения. </w:t>
      </w:r>
    </w:p>
    <w:p>
      <w:pPr>
        <w:pStyle w:val="2"/>
        <w:jc w:val="both"/>
        <w:rPr>
          <w:rFonts w:ascii="Times New Roman" w:hAnsi="Times New Roman" w:cs="Times New Roman"/>
          <w:b/>
          <w:b/>
          <w:i/>
          <w:i/>
          <w:color w:val="00000A"/>
          <w:sz w:val="24"/>
          <w:szCs w:val="24"/>
        </w:rPr>
      </w:pPr>
      <w:bookmarkStart w:id="30" w:name="_Toc485621436"/>
      <w:r>
        <w:rPr>
          <w:rFonts w:cs="Times New Roman" w:ascii="Times New Roman" w:hAnsi="Times New Roman"/>
          <w:b/>
          <w:i/>
          <w:color w:val="00000A"/>
          <w:sz w:val="24"/>
          <w:szCs w:val="24"/>
        </w:rPr>
        <w:t>Статья 24. Общие требования градостроительного регламента в части ограничений использования территорий, земельных участков и объектов капитального строительства</w:t>
      </w:r>
      <w:bookmarkEnd w:id="30"/>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Ограничения использования земельных участков и объектов капитального строительства, находящихся в границах зон с особыми условиями использования территорий, определяются в соответствии с законодательством Российской Федерации и отображаются на карте зон с особыми условиями использования территорий.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Указанные ограничения могут относиться к видам разрешённого использования земельных участков и объектов капитального строительства, к предельным размерам земельных участков, к предельным параметрам разрешённого строительства, реконструкции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Требования градостроительного регламента в части видов разрешённого использования земельных участков и объектов капитального строительства, предельных размеров земельных участков и предельных параметров разрешённого строительства, реконструкции объектов капитального строительства действуют лишь в той степени, в которой не противоречат ограничениям использования земельных участков и объектов капитального строительства, установленных в зонах с особыми условиями использования территорий.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В случае если указанные ограничения исключают один или несколько видов разрешённого использования земельных участков и объектов капитального строительства из числа, предусмотренных градостроительным регламентом для соответствующей территориальной зоны, то в границах пересечения такой территориальной зоны с зоной с особыми условиями использования территории применяется соответственно ограниченный перечень видов разрешённого использования земельных участков 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В случае если указанные ограничения устанавливают значения предельных (минимальных и (или) максимальных) размеров земельных участков и (или) предельных параметров разрешённого строительства, реконструкции объектов капитального строительства отличные от предусмотренных градостроительным регламентом для соответствующей территориальной зоны, то в границах пересечения такой территориальной зоны с зоной с особыми условиями использования территории применяются наименьшие значения в части максимальных и наибольшие значения в части минимальных размеров земельных участков и параметров разрешённого строительства, реконструкции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В случае если указанные ограничения дополняют перечень предельных параметров разрешённого строительства, реконструкции объектов капитального строительства, установленные применительно к конкретной территориальной зоне, то в границах пересечения такой территориальной зоны с зоной с особыми условиями использования территории применяется расширенный перечень предельных параметров разрешённого строительства, реконструкции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В случае если указанные ограничения устанавливают, в соответствии с законодательством Российской Федерации, перечень согласующих органов и (или) организаций, то в границах пересечения такой территориальной зоны с зоной с особыми условиями использования территории, установленные виды разрешённого использования,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 применяются с учётом необходимых исключений, дополнений и иных изменений, изложенных в заключениях согласующих органов и (или) организаций.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Границы зон с особыми условиями использования территорий могут не совпадать с границами территориальных зон и пересекать границы земельных участков. </w:t>
      </w:r>
    </w:p>
    <w:p>
      <w:pPr>
        <w:pStyle w:val="1"/>
        <w:jc w:val="both"/>
        <w:rPr>
          <w:rFonts w:ascii="Times New Roman" w:hAnsi="Times New Roman" w:cs="Times New Roman"/>
          <w:b/>
          <w:b/>
          <w:color w:val="00000A"/>
          <w:sz w:val="24"/>
          <w:szCs w:val="24"/>
        </w:rPr>
      </w:pPr>
      <w:bookmarkStart w:id="31" w:name="_Toc485621437"/>
      <w:r>
        <w:rPr>
          <w:rFonts w:cs="Times New Roman" w:ascii="Times New Roman" w:hAnsi="Times New Roman"/>
          <w:b/>
          <w:color w:val="00000A"/>
          <w:sz w:val="24"/>
          <w:szCs w:val="24"/>
        </w:rPr>
        <w:t>ГЛАВА 4. ПОДГОТОВКА ДОКУМЕНТАЦИИ ПО ПЛАНИРОВКЕ ТЕРРИТОРИИ</w:t>
      </w:r>
      <w:bookmarkEnd w:id="31"/>
      <w:r>
        <w:rPr>
          <w:rFonts w:cs="Times New Roman" w:ascii="Times New Roman" w:hAnsi="Times New Roman"/>
          <w:b/>
          <w:color w:val="00000A"/>
          <w:sz w:val="24"/>
          <w:szCs w:val="24"/>
        </w:rPr>
        <w:t xml:space="preserve"> </w:t>
      </w:r>
    </w:p>
    <w:p>
      <w:pPr>
        <w:pStyle w:val="2"/>
        <w:jc w:val="both"/>
        <w:rPr>
          <w:rFonts w:ascii="Times New Roman" w:hAnsi="Times New Roman" w:cs="Times New Roman"/>
          <w:b/>
          <w:b/>
          <w:i/>
          <w:i/>
          <w:color w:val="00000A"/>
          <w:sz w:val="24"/>
          <w:szCs w:val="24"/>
        </w:rPr>
      </w:pPr>
      <w:bookmarkStart w:id="32" w:name="_Toc485621438"/>
      <w:r>
        <w:rPr>
          <w:rFonts w:cs="Times New Roman" w:ascii="Times New Roman" w:hAnsi="Times New Roman"/>
          <w:b/>
          <w:i/>
          <w:color w:val="00000A"/>
          <w:sz w:val="24"/>
          <w:szCs w:val="24"/>
        </w:rPr>
        <w:t>Статья 25. Общие положения о планировке территории</w:t>
      </w:r>
      <w:bookmarkEnd w:id="32"/>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Планировка территории осуществляется посредством разработки документации по планировке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проектов планировки в виде отдельного документа;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проектов планировки с проектами межевания в их составе и с градостроительными планами земельных участков в составе проектов межевания;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проектов межевания с градостроительными планами земельных участков в их составе;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проектов межевания в виде отдельного документа;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градостроительных планов земельных участков в виде отдельного документа.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Подготовка документации по планировке территории осуществляется в отношении застроенных или подлежащих застройке территорий.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Подготовка проекта планировки территории осуществляется для выделения элементов планировочной структуры, установления параметров планируемого развития элементов планировочной структуры, зон планируемого размещения объектов капитального строительства, в том числе объектов местного значения поселения, в частности, линейных объектов. Случаи подготовки проекта планировки территории установлены </w:t>
      </w:r>
      <w:r>
        <w:rPr>
          <w:rFonts w:cs="Times New Roman" w:ascii="Times New Roman" w:hAnsi="Times New Roman"/>
          <w:b/>
          <w:bCs/>
          <w:sz w:val="24"/>
          <w:szCs w:val="24"/>
        </w:rPr>
        <w:t>ст.26 настоящих Правил</w:t>
      </w:r>
      <w:r>
        <w:rPr>
          <w:rFonts w:cs="Times New Roman" w:ascii="Times New Roman" w:hAnsi="Times New Roman"/>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Проект планировки территории является основой для разработки проектов межевания территорий.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Подготовка проектов межевания территории осуществляется применительно к застроенным и подлежащим застройке территориям, расположенным в границах элементов планировочной структуры. Проект межевания территории разрабатывается в целях определения местоположения границ, образуемых и изменяемых земельных участков. Случаи подготовки проекта межевания территории установлены </w:t>
      </w:r>
      <w:r>
        <w:rPr>
          <w:rFonts w:cs="Times New Roman" w:ascii="Times New Roman" w:hAnsi="Times New Roman"/>
          <w:b/>
          <w:bCs/>
          <w:sz w:val="24"/>
          <w:szCs w:val="24"/>
        </w:rPr>
        <w:t>ст.26 настоящих Правил</w:t>
      </w:r>
      <w:r>
        <w:rPr>
          <w:rFonts w:cs="Times New Roman" w:ascii="Times New Roman" w:hAnsi="Times New Roman"/>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Подготовка проекта планировки территории и проекта межевания территории осуществляется в соответствии с системой координат, используемой для ведения государственного кадастра недвижимости.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9. Подготовка градостроительных планов земельных участков осуществляется применительно к застроенным или предназначенным для строительства, реконструкции объектов капитального строительства (за исключением линейных объектов) земельным участкам. </w:t>
      </w:r>
    </w:p>
    <w:p>
      <w:pPr>
        <w:pStyle w:val="2"/>
        <w:jc w:val="both"/>
        <w:rPr>
          <w:rFonts w:ascii="Times New Roman" w:hAnsi="Times New Roman" w:cs="Times New Roman"/>
          <w:b/>
          <w:b/>
          <w:i/>
          <w:i/>
          <w:color w:val="00000A"/>
          <w:sz w:val="24"/>
          <w:szCs w:val="24"/>
        </w:rPr>
      </w:pPr>
      <w:bookmarkStart w:id="33" w:name="_Toc485621439"/>
      <w:r>
        <w:rPr>
          <w:rFonts w:cs="Times New Roman" w:ascii="Times New Roman" w:hAnsi="Times New Roman"/>
          <w:b/>
          <w:i/>
          <w:color w:val="00000A"/>
          <w:sz w:val="24"/>
          <w:szCs w:val="24"/>
        </w:rPr>
        <w:t>Статья 26. Случаи подготовки проекта планировки территории, проекта межевания территории</w:t>
      </w:r>
      <w:bookmarkEnd w:id="33"/>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Подготовка проекта планировки территории осуществляется на основании и в случаях, предусмотренных градостроительным и земельным законодательством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Подготовка одновременно проекта планировки территории и проекта межевания территории должна осуществляться в следующих случаях: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при развитии застроенной территории (в соответствии с договором о развитии застроенной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при комплексном освоении территории (в соответствии с договором о комплексном освоении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при комплексном освоении территории в целях строительства жилья экономического класса (в соответствии с договором о комплексном освоении территории в целях строительства жилья экономического класса);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в соответствии с договором безвозмездного пользования земельным участком для ведения садоводства, заключаемый с некоммерческой организацией, созданной гражданами;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в соответствии с договором аренды земельного участка, находящегося в муниципальной собственности, заключенным с юридическим лицом в целях ведения дачного хозяйства;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при обмене земельного участка, находящегося в муниципальной собственности, на земельный участок, который находится в частной собственности и предназначен (в соответствии с утверждёнными проектом планировки территории и проектом межевания территории) для размещения объекта социальной инфраструктуры, и (или) социального обслуживания (если размещение объекта социальной инфраструктуры, и (или) социального обслуживания, необходимо для соблюдения региональных (областных) и (или) местных нормативов градостроительного проектирования), объектов инженерной и транспортной инфраструктур или на котором расположены указанные объекты;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в целях резервирования земель для муниципальных нужд;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в иных случаях, предусмотренных Градостроительным кодексом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Подготовка проекта межевания территории должна осуществляться в следующих случаях: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в целях раздела земельного участка, предоставленного некоммерческой организации, созданной гражданами, для ведения садоводства, огородничества, дачного хозяйства;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в целях раздела земельного участка, предоставленного для комплексного освоения;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 соответствии с договором безвозмездного пользования земельным участком для ведения огородничества, заключаемым с некоммерческой организацией, созданной гражданами;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в иных случаях, предусмотренных Градостроительным кодексом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Подготовка проекта межевания территории может осуществляться: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в целях образования земельного участка, находящегося в муниципальной собственности, для его предоставления в собственность, аренду, постоянное (бессрочное) пользование, безвозмездное пользование без проведения торгов;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в целях образования земельного участка, находящегося в муниципальной собственности, для его продажи или предоставления в аренду путём проведения аукциона;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 случае перераспределения земель и (или) земельных участков, находящихся в муниципальной собственности, между собой;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в случае безвозмездной передачи земельных участков, находящихся в федеральной собственности, в муниципальную собственность;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в случае изъятия земельных участков для муниципальных нужд, в том числе для размещения объектов местного значения;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в иных случаях, предусмотренных Градостроительным кодексом Российской Федерации. </w:t>
      </w:r>
    </w:p>
    <w:p>
      <w:pPr>
        <w:pStyle w:val="2"/>
        <w:jc w:val="both"/>
        <w:rPr>
          <w:rFonts w:ascii="Times New Roman" w:hAnsi="Times New Roman" w:cs="Times New Roman"/>
          <w:b/>
          <w:b/>
          <w:i/>
          <w:i/>
          <w:color w:val="00000A"/>
          <w:sz w:val="24"/>
          <w:szCs w:val="24"/>
        </w:rPr>
      </w:pPr>
      <w:bookmarkStart w:id="34" w:name="_Toc485621440"/>
      <w:r>
        <w:rPr>
          <w:rFonts w:cs="Times New Roman" w:ascii="Times New Roman" w:hAnsi="Times New Roman"/>
          <w:b/>
          <w:i/>
          <w:color w:val="00000A"/>
          <w:sz w:val="24"/>
          <w:szCs w:val="24"/>
        </w:rPr>
        <w:t>Статья 27. Градостроительные планы земельных участков</w:t>
      </w:r>
      <w:bookmarkEnd w:id="34"/>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Подготовка градостроительных планов земельных участков осуществляется применительно к застроенным или предназначенным для строительства, реконструкции объектов капитального строительства (за исключением линейных объектов) земельным участкам.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Градостроительные планы земельных участков являются обязательным основанием для: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подготовки проектной документации для строительства, реконструкции объектов капитального строительства, за исключением линейных объектов, иных случаев, предусмотренных законодательством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выдачи разрешений на строительство, объектов капитального строительства за исключением линейных объектов;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выдачи разрешений на ввод объектов в эксплуатацию, объектов капитального строительства за исключением линейных объектов.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 составе градостроительного плана земельного участка указываются: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границы земельного участка;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границы зон действия публичных сервитутов;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минимальные отступы от границ земельного участка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информация о градостроительном регламенте (в случае, если на земельный участок распространяется действие градостроительного регламента). При этом в градостроительном плане земельного участка, за исключением случаев предоставления земельного участка для государственных или муниципальных нужд, должна содержаться информация о всех предусмотренных градостроительным регламентом видах разрешённого использования земельного участка;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информация о разрешённом использовании земельного участка, требованиях к назначению, параметрам и размещению объекта капитального строительства на указанном земельном участке (в случаях, если на земельный участок не распространяется действие градостроительного регламента или для земельного участка не устанавливается градостроительный регламент);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информация о расположенных в границах земельного участка объектах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информация о технических условиях подключения (технологического присоединения) объектов капитального строительства к сетям инженерно-технического обеспечения;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границы зоны планируемого размещения объектов капитального строительства для государственных или муниципальных нужд.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В состав градостроительного плана земельного участка может включаться информация о возможности или невозможности его разделения на несколько земельных участков.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Администрация района в течение двадцати дней со дня поступления обращения осуществляет подготовку градостроительного плана земельного участка и утверждает его. Администрация района предоставляет заявителю градостроительный план земельного участка без взимания платы.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При проектировании, строительстве и вводе в эксплуатацию линейных объектов согласно ст.48, 51, 55 Градостроительного кодекса Российской Федерации вместо градостроительных планов земельных участков разрабатываются в установленном порядке проекты планировки территории и проекты межевания территории. </w:t>
      </w:r>
    </w:p>
    <w:p>
      <w:pPr>
        <w:pStyle w:val="2"/>
        <w:jc w:val="both"/>
        <w:rPr>
          <w:rFonts w:ascii="Times New Roman" w:hAnsi="Times New Roman" w:cs="Times New Roman"/>
          <w:b/>
          <w:b/>
          <w:i/>
          <w:i/>
          <w:color w:val="00000A"/>
          <w:sz w:val="24"/>
          <w:szCs w:val="24"/>
        </w:rPr>
      </w:pPr>
      <w:bookmarkStart w:id="35" w:name="_Toc485621441"/>
      <w:r>
        <w:rPr>
          <w:rFonts w:cs="Times New Roman" w:ascii="Times New Roman" w:hAnsi="Times New Roman"/>
          <w:b/>
          <w:i/>
          <w:color w:val="00000A"/>
          <w:sz w:val="24"/>
          <w:szCs w:val="24"/>
        </w:rPr>
        <w:t>Статья 28. Порядок подготовки документации по планировке территории</w:t>
      </w:r>
      <w:bookmarkEnd w:id="35"/>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Подготовка документации по планировке территории осуществляется на основании генерального плана поселения, настоящих Правил, требований технических регламентов, региональных (областных) и (или) местных нормативов градостроительного проектирования, с учётом границ территорий объектов культурного наследия (памятников истории и культуры),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(памятников истории и культуры), с учётом границ зон с особыми условиями использования территорий, а также с учётом программ комплексного развития систем коммунальной инфраструктуры, программ комплексного развития транспортной инфраструктуры, программ комплексного развития социальной инфраструктуры.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Решение о подготовке документации по планировке территории принимается главой администрации района по инициативе органов местного самоуправления муниципального района, либо на основании предложений физических или юридических лиц о подготовке документации по планировке территории, за исключением случая, указанного в части 3 настоящей статьи. В случае принятия решения о подготовке документации по планировке территории на основании предложений физических или юридических лиц, подготовка документации по планировке осуществляется данными физическими или юридическими лицами за счёт их средств.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 случае если в отношении соответствующей территории заключен договор о комплексном освоении территории либо договор о развитии застроенной территории, принятие </w:t>
      </w:r>
      <w:r>
        <w:rPr>
          <w:rFonts w:cs="Times New Roman" w:ascii="Times New Roman" w:hAnsi="Times New Roman"/>
          <w:sz w:val="24"/>
          <w:szCs w:val="24"/>
          <w:shd w:fill="FFFFFF" w:val="clear"/>
        </w:rPr>
        <w:t>администрацией муниципального района решения о подготовке документации по планировке</w:t>
      </w:r>
      <w:r>
        <w:rPr>
          <w:rFonts w:cs="Times New Roman" w:ascii="Times New Roman" w:hAnsi="Times New Roman"/>
          <w:sz w:val="24"/>
          <w:szCs w:val="24"/>
        </w:rPr>
        <w:t xml:space="preserve"> территории не требуется. Подготовка документации по планировке соответствующей территории осуществляется лицами, с которыми заключены указанные договоры.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Указанное в части 2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трёх дней со дня принятия такого решения и размещается на официальном сайте администрации Урупского муниципального района.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В решении о подготовке документации по планировке территории должны содержаться следующие сведения: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местонахождение земельного участка или земельных участков (квартал, микрорайон и т.д.), применительно к которой осуществляется планировка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цель планировки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содержание работ по планировке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сроки проведения работ по планировке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виды разрабатываемой документации по планировке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иные сведения.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C дня опубликования решения о подготовке документации по планировке территории физические или юридические лица вправе представить в администрацию муниципального района свои предложения о порядке, сроках подготовки и содержании этих документов.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Администрация муниципального района осуществляет проверку документации по планировке территории на соответствие требованиям, установленным частью 1 настоящей статьи. Применительно к линейным объектам транспортной инфраструктуры местного значения поселения проверка также осуществляется на соответствие результатам инженерных изысканий. По результатам проверки администрация муниципального образования принимает решение о направлении документации по планировке территории главе района для назначения публичных слушаний или решение об отклонении такой документации и о направлении её на доработку.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Порядок организации и проведения публичных слушаний по проекту планировки территории и проекту межевания территории определяется Градостроительным кодексом Российской Федерации, Уставом муниципального района.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9. Публичные слушания по проекту планировки территории и проекту межевания территории не проводятся, если они подготовлены в отношении: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территории, подлежащей комплексному освоению в соответствии с договором о комплексном освоении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территории в границах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ведения дачного хозяйства иному юридическому лицу;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территории для размещения линейных объектов в границах земель лесного фонда.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10. Заключение о результатах публичных слушаний по проекту планировки территории и проекту межевания территории подлежит опубликованию в порядке, установленном частью 4 настоящей статьи.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11. Администрация муниципального района предоставляет главе муниципального района подготовленную документацию по планировке территории, протокол публичных слушаний и заключение о результатах публичных слушаний не позднее, чем через пятнадцать дней со дня проведения публичных слушаний.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12. Глава муниципального района, с учётом протокола и заключения о результатах публичных слушаний, принимает решение об утверждении документации по планировке или об её отклонении и направлении на доработку с учётом указанных протокола и заключения. В данном решении указываются обоснованные причины отклонения, а также сроки доработки документации по планировке.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13. Утверждённая документация по планировке территории подлежит опубликованию в порядке, установленном частью 4 настоящей статьи в течение семи дней со дня утверждения.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14. На основании документации по планировке территории, утверждённой главой Урупского муниципального района Карачаево-Черкесской Республики вправе вносить изменения в настоящие Правила в части уточнения установленных градостроительным регламентом предельных параметров разрешённого строительства, реконструкции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15. В случае, если физическое или юридическое лицо обращается в администрацию сельского поселения с заявлением о выдаче ему градостроительного плана земельного участка, проведение процедур, предусмотренных частями 2 - 14 настоящей статьи, не требуется.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16. Органы государственной власти Российской Федерации, органы государственной власти Карачаево-Черкесской Республики, органы местного самоуправления, физические и юридические лица вправе оспорить в судебном порядке утверждённую документацию по планировке территории. </w:t>
      </w:r>
    </w:p>
    <w:p>
      <w:pPr>
        <w:pStyle w:val="1"/>
        <w:jc w:val="both"/>
        <w:rPr>
          <w:rFonts w:ascii="Times New Roman" w:hAnsi="Times New Roman" w:cs="Times New Roman"/>
          <w:b/>
          <w:b/>
          <w:color w:val="00000A"/>
          <w:sz w:val="24"/>
          <w:szCs w:val="24"/>
        </w:rPr>
      </w:pPr>
      <w:bookmarkStart w:id="36" w:name="_Toc485621442"/>
      <w:r>
        <w:rPr>
          <w:rFonts w:cs="Times New Roman" w:ascii="Times New Roman" w:hAnsi="Times New Roman"/>
          <w:b/>
          <w:color w:val="00000A"/>
          <w:sz w:val="24"/>
          <w:szCs w:val="24"/>
        </w:rPr>
        <w:t>ГЛАВА 5. ПРОВЕДЕНИЕ ПУБЛИЧНЫХ СЛУШАНИЙ ПО ВОПРОСАМ ЗЕМЛЕПОЛЬЗОВАНИЯ И ЗАСТРОЙКИ</w:t>
      </w:r>
      <w:bookmarkEnd w:id="36"/>
      <w:r>
        <w:rPr>
          <w:rFonts w:cs="Times New Roman" w:ascii="Times New Roman" w:hAnsi="Times New Roman"/>
          <w:b/>
          <w:color w:val="00000A"/>
          <w:sz w:val="24"/>
          <w:szCs w:val="24"/>
        </w:rPr>
        <w:t xml:space="preserve"> </w:t>
      </w:r>
    </w:p>
    <w:p>
      <w:pPr>
        <w:pStyle w:val="2"/>
        <w:jc w:val="both"/>
        <w:rPr>
          <w:rFonts w:ascii="Times New Roman" w:hAnsi="Times New Roman" w:cs="Times New Roman"/>
          <w:b/>
          <w:b/>
          <w:i/>
          <w:i/>
          <w:color w:val="00000A"/>
          <w:sz w:val="24"/>
          <w:szCs w:val="24"/>
        </w:rPr>
      </w:pPr>
      <w:bookmarkStart w:id="37" w:name="_Toc485621443"/>
      <w:r>
        <w:rPr>
          <w:rFonts w:cs="Times New Roman" w:ascii="Times New Roman" w:hAnsi="Times New Roman"/>
          <w:b/>
          <w:i/>
          <w:color w:val="00000A"/>
          <w:sz w:val="24"/>
          <w:szCs w:val="24"/>
        </w:rPr>
        <w:t>Статья 29. Публичные слушания по проекту Правил землепользования и застройки или проекту внесения в них изменений</w:t>
      </w:r>
      <w:bookmarkEnd w:id="37"/>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проводятся с участием граждан, проживающих на территории, применительно к которой осуществляется подготовка Правил или проекта внесения изменений в Правила,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Публичные слушания проводятся Комиссией в порядке, определяемом Градостроительным кодексом Российской Федерации, Уставом муниципального района.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Обсуждению на публичных слушаниях подлежат: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проект Правил и проекты внесений изменений в Правила;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вопросы предоставления разрешений на условно разрешённый вид использования земельного участка и объекта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вопросы предоставления разрешения на отклонение от предельных параметров разрешённого строительства, реконструкции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иные вопросы землепользования и застройки, установленные законодательством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Заключения о результатах публичных слушаний по вопросам землепользования и застройки подлежат опубликованию в порядке, установленном для официального опубликования муниципальных правовых актов, и размещаются на официальном сайте администрации Урупского муниципального района.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Администрация Урупского муниципального района осуществляет проверку проекта Правил или проекта внесения изменений в Правила, представленного Комиссией, на соответствие требованиям технических регламентов, генеральному плану поселения, схеме территориального планирования Урупского муниципального района Карачаево-Черкесской Республики, схеме территориального планирования Карачаево-Черкесской Республики, схемам территориального планирования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По результатам указанной в части 5 настоящей статьи проверки администрация муниципального района направляет проект Правил или проект внесения изменений в Правила главе муниципального района или в случае обнаружения его несоответствия требованиям и документам, указанным в части 5 настоящей статьи, в Комиссию на доработку.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Глава муниципального района при получении от администрации района проекта Правил или проекта внесения изменений в Правила принимает решение о проведении публичных слушаний по такому проекту в срок не позднее чем через десять дней со дня получения такого проекта.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Продолжительность публичных слушаний по проекту Правил или проекту внесения изменений в Правила составляет не менее двух и не более четырёх месяцев со дня опубликования такого проекта.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9. В случае подготовки проекта внесения изменений в Правила в части изменения градостроительного регламента, установленного для конкретной территориальной зоны, публичные слушания по проекту внесения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10. После завершения публичных слушаний по проекту Правил или проекту внесения изменений в Правила Комиссия с учётом результатов таких публичных слушаний обеспечивает внесение изменений в проект Правил или проект внесения изменений в Правила и представляет указанный проект главе администрации муниципального района. Обязательными приложениями к проекту Правил или проекту внесения изменений в Правила являются протоколы публичных слушаний и заключение о результатах публичных слушаний.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11. Глава администрации муниципального района в течение десяти дней после представления ему проекта Правил или проекта внесения изменений в Правила и указанных в части 10 настоящей статьи обязательных приложений должен принять решение о направлении указанного проекта в Совет Урупского муниципального района Карачаево-Черкесской Республики или об отклонении проекта Правил или проекта внесения изменений в Правила и о направлении его на доработку с указанием даты его повторного представления. </w:t>
      </w:r>
    </w:p>
    <w:p>
      <w:pPr>
        <w:pStyle w:val="2"/>
        <w:jc w:val="both"/>
        <w:rPr>
          <w:rFonts w:ascii="Times New Roman" w:hAnsi="Times New Roman" w:cs="Times New Roman"/>
          <w:b/>
          <w:b/>
          <w:i/>
          <w:i/>
          <w:color w:val="00000A"/>
          <w:sz w:val="24"/>
          <w:szCs w:val="24"/>
        </w:rPr>
      </w:pPr>
      <w:bookmarkStart w:id="38" w:name="_Toc485621444"/>
      <w:r>
        <w:rPr>
          <w:rFonts w:cs="Times New Roman" w:ascii="Times New Roman" w:hAnsi="Times New Roman"/>
          <w:b/>
          <w:i/>
          <w:color w:val="00000A"/>
          <w:sz w:val="24"/>
          <w:szCs w:val="24"/>
        </w:rPr>
        <w:t>Статья 30. Публичные слушания по вопросу о предоставлении разрешения на условно разрешённый вид использования земельного участка или объекта капитального строительства</w:t>
      </w:r>
      <w:bookmarkEnd w:id="38"/>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Физическое или юридическое лицо, заинтересованное в предоставлении разрешения на условно разрешённый вид использования земельного участка или объекта капитального строительства, направляет заявление о предоставлении разрешения на условно разрешённый вид использования в Комиссию.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Публичные слушания по вопросу предоставления разрешения на условно разрешённый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разрешённый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Срок проведения публичных слушаний с момента оповещения жителей о времени и месте их проведения до дня опубликования заключения о результатах публичных слушаний не может быть более одного месяца.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Комиссия направляет сообщения о проведении публичных слушаний по вопросу предоставления разрешения на условно разрешённый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разрешённый вид использования. </w:t>
      </w:r>
    </w:p>
    <w:p>
      <w:pPr>
        <w:pStyle w:val="Default"/>
        <w:ind w:firstLine="709"/>
        <w:jc w:val="both"/>
        <w:rPr>
          <w:color w:val="00000A"/>
        </w:rPr>
      </w:pPr>
      <w:r>
        <w:rPr>
          <w:color w:val="00000A"/>
        </w:rPr>
        <w:t xml:space="preserve">5. Участники публичных слушаний по вопросу о предоставлении разрешения на условно разрешённый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На основании заключения о результатах публичных слушаний по вопросу о предоставлении разрешения на условно разрешённый вид использования Комиссия осуществляет подготовку рекомендаций о предоставлении разрешения на условно разрешённый вид использования или об отказе в предоставлении такого разрешения с указанием причин принятого решения и направляет их главе администрации муниципального района.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На основании указанных в части 6 настоящей статьи рекомендаций глава администрации муниципального района в течение трёх дней со дня поступления таких рекомендаций принимает решение о предоставлении разрешения на условно разрешённый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администрации Урупского муниципального района.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Физическое или юридическое лицо вправе оспорить в судебном порядке решение о предоставлении разрешения на условно разрешённый вид использования или об отказе в предоставлении такого разрешения. </w:t>
      </w:r>
    </w:p>
    <w:p>
      <w:pPr>
        <w:pStyle w:val="2"/>
        <w:jc w:val="both"/>
        <w:rPr>
          <w:rFonts w:ascii="Times New Roman" w:hAnsi="Times New Roman" w:cs="Times New Roman"/>
          <w:b/>
          <w:b/>
          <w:i/>
          <w:i/>
          <w:color w:val="00000A"/>
          <w:sz w:val="24"/>
          <w:szCs w:val="24"/>
        </w:rPr>
      </w:pPr>
      <w:bookmarkStart w:id="39" w:name="_Toc485621445"/>
      <w:r>
        <w:rPr>
          <w:rFonts w:cs="Times New Roman" w:ascii="Times New Roman" w:hAnsi="Times New Roman"/>
          <w:b/>
          <w:i/>
          <w:color w:val="00000A"/>
          <w:sz w:val="24"/>
          <w:szCs w:val="24"/>
        </w:rPr>
        <w:t>Статья 31. Публичные слушания по вопросу о предоставлении разрешения на отклонение от предельных параметров разрешённого строительства, реконструкции объектов капитального строительства</w:t>
      </w:r>
      <w:bookmarkEnd w:id="39"/>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разрешённого строительства, реконструкции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Отклонение от предельных параметров разрешённого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Заинтересованное в получении разрешения на отклонение от предельных параметров разрешённого строительства, реконструкции объектов капитального строительства лицо направляет в Комиссию заявление о предоставлении такого разрешения.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Публичные слушания по вопросу о предоставлении разрешения на отклонение от предельных параметров разрешённого строительства, реконструкции объектов капитального строительства проводятся с учётом положений, предусмотренных </w:t>
      </w:r>
      <w:r>
        <w:rPr>
          <w:rFonts w:cs="Times New Roman" w:ascii="Times New Roman" w:hAnsi="Times New Roman"/>
          <w:b/>
          <w:bCs/>
          <w:sz w:val="24"/>
          <w:szCs w:val="24"/>
        </w:rPr>
        <w:t>ч.2-5 ст.30 настоящих Правил</w:t>
      </w:r>
      <w:r>
        <w:rPr>
          <w:rFonts w:cs="Times New Roman" w:ascii="Times New Roman" w:hAnsi="Times New Roman"/>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На основании заключения о результатах публичных слушаний по вопросу о предоставлении разрешения на отклонение от предельных параметров разрешённого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администрации муниципального района.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Глава администрации муниципального района 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разрешённого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разрешённого строительства, реконструкции объектов капитального строительства или об отказе в предоставлении такого разрешения. </w:t>
      </w:r>
    </w:p>
    <w:p>
      <w:pPr>
        <w:pStyle w:val="1"/>
        <w:jc w:val="both"/>
        <w:rPr>
          <w:rFonts w:ascii="Times New Roman" w:hAnsi="Times New Roman" w:cs="Times New Roman"/>
          <w:b/>
          <w:b/>
          <w:color w:val="00000A"/>
          <w:sz w:val="24"/>
          <w:szCs w:val="24"/>
        </w:rPr>
      </w:pPr>
      <w:bookmarkStart w:id="40" w:name="_Toc485621446"/>
      <w:r>
        <w:rPr>
          <w:rFonts w:cs="Times New Roman" w:ascii="Times New Roman" w:hAnsi="Times New Roman"/>
          <w:b/>
          <w:color w:val="00000A"/>
          <w:sz w:val="24"/>
          <w:szCs w:val="24"/>
        </w:rPr>
        <w:t>ГЛАВА 6. ВНЕСЕНИЕ ИЗМЕНЕНИЙ В ПРАВИЛА ЗЕМЛЕПОЛЬЗОВАНИЯ И ЗАСТРОЙКИ. ОТВЕТСТВЕННОСТЬ ЗА НАРУШЕНИЕ ПРАВИЛ ЗЕМЛЕПОЛЬЗОВАНИЯ И ЗАСТРОЙКИ</w:t>
      </w:r>
      <w:bookmarkEnd w:id="40"/>
      <w:r>
        <w:rPr>
          <w:rFonts w:cs="Times New Roman" w:ascii="Times New Roman" w:hAnsi="Times New Roman"/>
          <w:b/>
          <w:color w:val="00000A"/>
          <w:sz w:val="24"/>
          <w:szCs w:val="24"/>
        </w:rPr>
        <w:t xml:space="preserve"> </w:t>
      </w:r>
    </w:p>
    <w:p>
      <w:pPr>
        <w:pStyle w:val="2"/>
        <w:jc w:val="both"/>
        <w:rPr>
          <w:rFonts w:ascii="Times New Roman" w:hAnsi="Times New Roman" w:cs="Times New Roman"/>
          <w:b/>
          <w:b/>
          <w:i/>
          <w:i/>
          <w:color w:val="00000A"/>
          <w:sz w:val="24"/>
          <w:szCs w:val="24"/>
        </w:rPr>
      </w:pPr>
      <w:bookmarkStart w:id="41" w:name="_Toc485621447"/>
      <w:r>
        <w:rPr>
          <w:rFonts w:cs="Times New Roman" w:ascii="Times New Roman" w:hAnsi="Times New Roman"/>
          <w:b/>
          <w:i/>
          <w:color w:val="00000A"/>
          <w:sz w:val="24"/>
          <w:szCs w:val="24"/>
        </w:rPr>
        <w:t>Статья 32. Порядок внесения изменений в правила землепользования и застройки</w:t>
      </w:r>
      <w:bookmarkEnd w:id="41"/>
      <w:r>
        <w:rPr>
          <w:rFonts w:cs="Times New Roman" w:ascii="Times New Roman" w:hAnsi="Times New Roman"/>
          <w:b/>
          <w:i/>
          <w:color w:val="00000A"/>
          <w:sz w:val="24"/>
          <w:szCs w:val="24"/>
        </w:rPr>
        <w:t xml:space="preserve"> </w:t>
      </w:r>
    </w:p>
    <w:p>
      <w:pPr>
        <w:pStyle w:val="Style97"/>
        <w:spacing w:before="0" w:after="160"/>
        <w:ind w:firstLine="709"/>
        <w:rPr>
          <w:rFonts w:ascii="Times New Roman" w:hAnsi="Times New Roman"/>
        </w:rPr>
      </w:pPr>
      <w:r>
        <w:rPr>
          <w:rFonts w:ascii="Times New Roman" w:hAnsi="Times New Roman"/>
        </w:rPr>
        <w:t>1. Изменениями настоящих Правил считаются любые изменения текста Правил, карты градостроительного зонирования, карты зон с особыми условиями использования территорий, либо градостроительных регламентов, за исключением случаев, предусмотренных действующим законодательством Российской Федерации.</w:t>
      </w:r>
    </w:p>
    <w:p>
      <w:pPr>
        <w:pStyle w:val="Style97"/>
        <w:spacing w:before="0" w:after="160"/>
        <w:ind w:firstLine="709"/>
        <w:rPr>
          <w:rFonts w:ascii="Times New Roman" w:hAnsi="Times New Roman"/>
        </w:rPr>
      </w:pPr>
      <w:r>
        <w:rPr>
          <w:rFonts w:ascii="Times New Roman" w:hAnsi="Times New Roman"/>
        </w:rPr>
        <w:t>2. Основаниями для рассмотрения главой администрации муниципального района вопроса о внесении изменений в Правила являются:</w:t>
      </w:r>
    </w:p>
    <w:p>
      <w:pPr>
        <w:pStyle w:val="Style97"/>
        <w:spacing w:before="0" w:after="160"/>
        <w:ind w:firstLine="709"/>
        <w:rPr>
          <w:rFonts w:ascii="Times New Roman" w:hAnsi="Times New Roman"/>
        </w:rPr>
      </w:pPr>
      <w:r>
        <w:rPr>
          <w:rFonts w:ascii="Times New Roman" w:hAnsi="Times New Roman"/>
        </w:rPr>
        <w:t>1) несоответствие настоящих Правил генеральному плану Загеданского сельского поселения, возникшее в результате внесения в генеральный план Загеданского сельского поселения изменений;</w:t>
      </w:r>
    </w:p>
    <w:p>
      <w:pPr>
        <w:pStyle w:val="Style97"/>
        <w:spacing w:before="0" w:after="160"/>
        <w:ind w:firstLine="709"/>
        <w:rPr>
          <w:rFonts w:ascii="Times New Roman" w:hAnsi="Times New Roman"/>
        </w:rPr>
      </w:pPr>
      <w:r>
        <w:rPr>
          <w:rFonts w:ascii="Times New Roman" w:hAnsi="Times New Roman"/>
        </w:rPr>
        <w:t>2) поступление предложений об изменении границ территориальных зон, изменении градостроительных регламентов.</w:t>
      </w:r>
    </w:p>
    <w:p>
      <w:pPr>
        <w:pStyle w:val="Style97"/>
        <w:spacing w:before="0" w:after="160"/>
        <w:ind w:firstLine="709"/>
        <w:rPr>
          <w:rFonts w:ascii="Times New Roman" w:hAnsi="Times New Roman"/>
        </w:rPr>
      </w:pPr>
      <w:r>
        <w:rPr>
          <w:rFonts w:ascii="Times New Roman" w:hAnsi="Times New Roman"/>
        </w:rPr>
        <w:t>3. Предложения о внесении изменений в Правила направляются:</w:t>
      </w:r>
    </w:p>
    <w:p>
      <w:pPr>
        <w:pStyle w:val="Style97"/>
        <w:spacing w:before="0" w:after="160"/>
        <w:ind w:firstLine="709"/>
        <w:rPr>
          <w:rFonts w:ascii="Times New Roman" w:hAnsi="Times New Roman"/>
        </w:rPr>
      </w:pPr>
      <w:r>
        <w:rPr>
          <w:rFonts w:ascii="Times New Roman" w:hAnsi="Times New Roman"/>
        </w:rPr>
        <w:t>1) федеральными органами исполнительной власти в случаях, если Правила могут воспрепятствовать функционированию, размещению объектов федерального значения (за исключением линейных объектов);</w:t>
      </w:r>
    </w:p>
    <w:p>
      <w:pPr>
        <w:pStyle w:val="Style97"/>
        <w:spacing w:before="0" w:after="160"/>
        <w:ind w:firstLine="709"/>
        <w:rPr>
          <w:rFonts w:ascii="Times New Roman" w:hAnsi="Times New Roman"/>
        </w:rPr>
      </w:pPr>
      <w:r>
        <w:rPr>
          <w:rFonts w:ascii="Times New Roman" w:hAnsi="Times New Roman"/>
        </w:rPr>
        <w:t>2) органами исполнительной власти Карачаево-Черкесской Республики в случаях, если Правила могут воспрепятствовать функционированию, размещению объектов регионального значения (за исключением линейных объектов);</w:t>
      </w:r>
    </w:p>
    <w:p>
      <w:pPr>
        <w:pStyle w:val="Style97"/>
        <w:spacing w:before="0" w:after="160"/>
        <w:ind w:firstLine="709"/>
        <w:rPr>
          <w:rFonts w:ascii="Times New Roman" w:hAnsi="Times New Roman"/>
        </w:rPr>
      </w:pPr>
      <w:r>
        <w:rPr>
          <w:rFonts w:ascii="Times New Roman" w:hAnsi="Times New Roman"/>
        </w:rPr>
        <w:t>3) органами местного самоуправления Урупского муниципального района в случаях, если Правила могут воспрепятствовать функционированию, размещению объектов местного значения (за исключением линейных объектов);</w:t>
      </w:r>
    </w:p>
    <w:p>
      <w:pPr>
        <w:pStyle w:val="Style97"/>
        <w:spacing w:before="0" w:after="160"/>
        <w:ind w:firstLine="709"/>
        <w:rPr>
          <w:rFonts w:ascii="Times New Roman" w:hAnsi="Times New Roman"/>
        </w:rPr>
      </w:pPr>
      <w:r>
        <w:rPr>
          <w:rFonts w:ascii="Times New Roman" w:hAnsi="Times New Roman"/>
        </w:rPr>
        <w:t>4) органами местного самоуправления Загеданского сельского поселения в случаях, если необходимо совершенствовать порядок регулирования землепользования и застройки на соответствующей территории поселения;</w:t>
      </w:r>
    </w:p>
    <w:p>
      <w:pPr>
        <w:pStyle w:val="Style97"/>
        <w:spacing w:before="0" w:after="160"/>
        <w:ind w:firstLine="709"/>
        <w:rPr>
          <w:rFonts w:ascii="Times New Roman" w:hAnsi="Times New Roman"/>
        </w:rPr>
      </w:pPr>
      <w:r>
        <w:rPr>
          <w:rFonts w:ascii="Times New Roman" w:hAnsi="Times New Roman"/>
        </w:rPr>
        <w:t>5) физическими или юридическими лицами в инициативном порядке либо в случаях, если в результате применения настоящих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pPr>
        <w:pStyle w:val="Style97"/>
        <w:spacing w:before="0" w:after="160"/>
        <w:ind w:firstLine="709"/>
        <w:rPr>
          <w:rFonts w:ascii="Times New Roman" w:hAnsi="Times New Roman"/>
        </w:rPr>
      </w:pPr>
      <w:r>
        <w:rPr>
          <w:rFonts w:ascii="Times New Roman" w:hAnsi="Times New Roman"/>
        </w:rPr>
        <w:t>4. Предложение о внесении изменений в настоящие Правила направляется в письменной форме в Комиссию.</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Комиссия в течение тридцати дней со дня поступления предложения о внесении изменений в Правила рассматривает его и подготавливает заключение,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администрации муниципального района.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Глава администрации муниципального района с учётом рекомендаций, содержащихся в заключении Комиссии, в течение тридцати дней принимает решение о подготовке проекта внесения изменений в Правила или об отклонении предложения о внесении таких изменений с указанием причин отклонения и направляет копию такого решения заявителям.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Глава администрации муниципального района не позднее, чем по истечении десяти дней с даты принятия решения о подготовке проекта внесения изменений в Правила, обеспечивает опубликование сообщения в порядке, установленном для официального опубликования муниципальных правовых актов и размещает его на официальном сайте администрации Урупского муниципального района.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Администрация муниципального района осуществляет проверку проекта внесения изменений в Правила, на соответствие требованиям технических регламентов, генеральному плану поселения, схеме территориального планирования Урупского муниципального района Карачаево-Черкесской Республики, схеме территориального планирования Карачаево-Черкесской Республики, схемам территориального планирования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9. По результатам указанной в части 8 настоящей статьи проверки администрация муниципального района направляет проект внесения изменений в Правила главе муниципального района или в случае обнаружения его несоответствия требованиям и документам, указанным в части 8 настоящей статьи, в Комиссию на доработку.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10. Глава муниципального района при получении от администрации муниципального района проекта внесения изменений в Правила принимает решение о проведении публичных слушаний по такому проекту в срок не позднее чем через десять дней со дня получения такого проекта.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11. Продолжительность публичных слушаний по проекту внесения изменений в Правила составляет не менее двух и не более четырёх месяцев со дня опубликования такого проекта.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12. В случае подготовки проекта внесения изменений в Правила применительно к части территории поселения публичные слушания по такому проекту проводятся с участием правообладателей земельных участков и (или) объектов капитального строительства, находящихся в границах указанной части поселения.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13. После завершения публичных слушаний по проекту внесения изменений в Правила Комиссия с учётом результатов таких публичных слушаний обеспечивает внесение изменений в данный проект и представляет его главе администрации муниципального района. Обязательными приложениями к проекту внесения изменений в Правила являются протоколы публичных слушаний и заключение о результатах публичных слушаний.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14. Глава администрации муниципального района в течение десяти дней после представления ему проекта внесения изменений в Правила и указанных в части 13 настоящей статьи обязательных приложений принимает решение о направлении указанного проекта в установленном порядке в Совет Урупского муниципального района Карачаево-Черкесской Республики или об отклонении проекта внесения изменений в Правила и о направлении его на доработку с указанием даты его повторного представления.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15. После утверждения Советом Урупского муниципального района Карачаево-Черкесской Республики, изменений в Правила, они подлежат опубликованию в порядке, установленном для официального опубликования муниципальных правовых актов, и размещению на официальном сайте администрации Урупского муниципального района. </w:t>
      </w:r>
    </w:p>
    <w:p>
      <w:pPr>
        <w:pStyle w:val="2"/>
        <w:jc w:val="both"/>
        <w:rPr>
          <w:rFonts w:ascii="Times New Roman" w:hAnsi="Times New Roman" w:cs="Times New Roman"/>
          <w:b/>
          <w:b/>
          <w:i/>
          <w:i/>
          <w:color w:val="00000A"/>
          <w:sz w:val="24"/>
          <w:szCs w:val="24"/>
        </w:rPr>
      </w:pPr>
      <w:bookmarkStart w:id="42" w:name="_Toc485621448"/>
      <w:r>
        <w:rPr>
          <w:rFonts w:cs="Times New Roman" w:ascii="Times New Roman" w:hAnsi="Times New Roman"/>
          <w:b/>
          <w:i/>
          <w:color w:val="00000A"/>
          <w:sz w:val="24"/>
          <w:szCs w:val="24"/>
        </w:rPr>
        <w:t>Статья 33. Ответственность за нарушение правил землепользования и застройки</w:t>
      </w:r>
      <w:bookmarkEnd w:id="42"/>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Лица, виновные в нарушении настоящих Правил, несут дисциплинарную, имущественную, административную, уголовную и иную ответственность в соответствии с законодательством Российской Федерации. </w:t>
      </w:r>
    </w:p>
    <w:p>
      <w:pPr>
        <w:pStyle w:val="1"/>
        <w:jc w:val="both"/>
        <w:rPr>
          <w:rFonts w:ascii="Times New Roman" w:hAnsi="Times New Roman" w:cs="Times New Roman"/>
          <w:b/>
          <w:b/>
          <w:color w:val="00000A"/>
          <w:sz w:val="24"/>
          <w:szCs w:val="24"/>
        </w:rPr>
      </w:pPr>
      <w:bookmarkStart w:id="43" w:name="_Toc485621449"/>
      <w:r>
        <w:rPr>
          <w:rFonts w:cs="Times New Roman" w:ascii="Times New Roman" w:hAnsi="Times New Roman"/>
          <w:b/>
          <w:color w:val="00000A"/>
          <w:sz w:val="24"/>
          <w:szCs w:val="24"/>
        </w:rPr>
        <w:t>ГЛАВА 7. РЕГУЛИРОВАНИЕ ИНЫХ ВОПРОСОВ ЗЕМЛЕПОЛЬЗОВАНИЯ И ЗАСТРОЙКИ</w:t>
      </w:r>
      <w:bookmarkEnd w:id="43"/>
      <w:r>
        <w:rPr>
          <w:rFonts w:cs="Times New Roman" w:ascii="Times New Roman" w:hAnsi="Times New Roman"/>
          <w:b/>
          <w:color w:val="00000A"/>
          <w:sz w:val="24"/>
          <w:szCs w:val="24"/>
        </w:rPr>
        <w:t xml:space="preserve"> </w:t>
      </w:r>
    </w:p>
    <w:p>
      <w:pPr>
        <w:pStyle w:val="2"/>
        <w:jc w:val="both"/>
        <w:rPr>
          <w:rFonts w:ascii="Times New Roman" w:hAnsi="Times New Roman" w:cs="Times New Roman"/>
          <w:b/>
          <w:b/>
          <w:i/>
          <w:i/>
          <w:color w:val="00000A"/>
          <w:sz w:val="24"/>
          <w:szCs w:val="24"/>
        </w:rPr>
      </w:pPr>
      <w:bookmarkStart w:id="44" w:name="_Toc485621450"/>
      <w:r>
        <w:rPr>
          <w:rFonts w:cs="Times New Roman" w:ascii="Times New Roman" w:hAnsi="Times New Roman"/>
          <w:b/>
          <w:i/>
          <w:color w:val="00000A"/>
          <w:sz w:val="24"/>
          <w:szCs w:val="24"/>
        </w:rPr>
        <w:t>Статья 34. Основания для установления сервитута в отношении земельного участка, находящегося в государственной или муниципальной собственности</w:t>
      </w:r>
      <w:bookmarkEnd w:id="44"/>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Соглашение об установлении сервитута в отношении земельного участка, находящегося в государственной или муниципальной собственности, заключается в случаях, установленных гражданским и земельным законодательством Российской Федерации, другими федеральными законами, и, в частности, в следующих случаях: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размещение линейных объектов, сооружений связи, специальных информационных знаков и защитных сооружений, не препятствующих разрешённому использованию земельного участка;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проведение изыскательских работ;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ведение работ, связанных с пользованием недрами. </w:t>
      </w:r>
    </w:p>
    <w:p>
      <w:pPr>
        <w:pStyle w:val="2"/>
        <w:jc w:val="both"/>
        <w:rPr>
          <w:rFonts w:ascii="Times New Roman" w:hAnsi="Times New Roman" w:cs="Times New Roman"/>
          <w:b/>
          <w:b/>
          <w:i/>
          <w:i/>
          <w:color w:val="00000A"/>
          <w:sz w:val="24"/>
          <w:szCs w:val="24"/>
        </w:rPr>
      </w:pPr>
      <w:bookmarkStart w:id="45" w:name="_Toc485621451"/>
      <w:r>
        <w:rPr>
          <w:rFonts w:cs="Times New Roman" w:ascii="Times New Roman" w:hAnsi="Times New Roman"/>
          <w:b/>
          <w:i/>
          <w:color w:val="00000A"/>
          <w:sz w:val="24"/>
          <w:szCs w:val="24"/>
        </w:rPr>
        <w:t>Статья 35. Установление публичных сервитутов</w:t>
      </w:r>
      <w:bookmarkEnd w:id="45"/>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Сервитут устанавливается в соответствии с гражданским законодательством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Публичный сервитут устанавливается законом или иным нормативным правовым актом Российской Федерации, нормативным правовым актом Карачаево-Черкесской Республики, нормативным правовым актом органа местного самоуправления в случаях, если это необходимо для обеспечения интересов государства, местного самоуправления или местного населения, без изъятия земельных участков. Установление публичного сервитута осуществляется с учётом результатов общественных слушаний.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Органы местного самоуправления имеют право устанавливать применительно к земельным участкам, принадлежащим физическим или юридическим лицам, публичные сервитуты - ограничения для правообладателей на использование этих объектов, связанные с обеспечением интересов местного самоуправления или населения, без изъятия земельных участков: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использования земельного участка в целях ремонта коммунальных, инженерных, электрических и других линий и сетей, а также объектов транспортной инфраструктуры;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размещения на земельном участке межевых и геодезических знаков и подъездов к ним;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проведения дренажных работ на земельном участке;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забора (изъятия) водных ресурсов из водных объектов и водопоя;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прогона сельскохозяйственных животных через земельный участок;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использования земельного участка в целях охоты, рыболовства, аквакультуры (рыбоводства);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9) временного пользования земельным участком в целях проведения изыскательских, исследовательских и других работ.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Сервитут может быть срочным или постоянным.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Срок установления публичного сервитута в отношении земельного участка, расположенного в границах земель, зарезервированных для государственных или муниципальных нужд, не может превышать срок резервирования таких земель.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Осуществление сервитута должно быть наименее обременительным для земельного участка, в отношении которого он установлен.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Сервитуты подлежат государственной регистрации в соответствии с Федеральным законом от 21.07.1997 №122-ФЗ «О государственной регистрации прав на недвижимое имущество и сделок с ним».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Границы зон действия публичных сервитутов обозначаются на градостроительных планах земельных участков. </w:t>
      </w:r>
    </w:p>
    <w:p>
      <w:pPr>
        <w:pStyle w:val="2"/>
        <w:jc w:val="both"/>
        <w:rPr>
          <w:rFonts w:ascii="Times New Roman" w:hAnsi="Times New Roman" w:cs="Times New Roman"/>
          <w:b/>
          <w:b/>
          <w:i/>
          <w:i/>
          <w:color w:val="00000A"/>
          <w:sz w:val="24"/>
          <w:szCs w:val="24"/>
        </w:rPr>
      </w:pPr>
      <w:bookmarkStart w:id="46" w:name="_Toc485621452"/>
      <w:r>
        <w:rPr>
          <w:rFonts w:cs="Times New Roman" w:ascii="Times New Roman" w:hAnsi="Times New Roman"/>
          <w:b/>
          <w:i/>
          <w:color w:val="00000A"/>
          <w:sz w:val="24"/>
          <w:szCs w:val="24"/>
        </w:rPr>
        <w:t>Статья 36. Основания прекращения сервитута</w:t>
      </w:r>
      <w:bookmarkEnd w:id="46"/>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Сервитут может быть прекращён по основаниям, предусмотренным гражданским законодательством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Публичный сервитут может быть прекращён в случае отсутствия общественных нужд, для которых он был установлен, путём принятия акта об отмене сервитута. </w:t>
      </w:r>
    </w:p>
    <w:p>
      <w:pPr>
        <w:pStyle w:val="2"/>
        <w:rPr>
          <w:rFonts w:ascii="Times New Roman" w:hAnsi="Times New Roman" w:cs="Times New Roman"/>
          <w:b/>
          <w:b/>
          <w:i/>
          <w:i/>
          <w:color w:val="00000A"/>
          <w:sz w:val="24"/>
          <w:szCs w:val="24"/>
        </w:rPr>
      </w:pPr>
      <w:bookmarkStart w:id="47" w:name="_Toc485621453"/>
      <w:r>
        <w:rPr>
          <w:rFonts w:cs="Times New Roman" w:ascii="Times New Roman" w:hAnsi="Times New Roman"/>
          <w:b/>
          <w:i/>
          <w:color w:val="00000A"/>
          <w:sz w:val="24"/>
          <w:szCs w:val="24"/>
        </w:rPr>
        <w:t>Статья 37. Условия, при которых земельный участок не может быть предметом аукциона</w:t>
      </w:r>
      <w:bookmarkEnd w:id="47"/>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Земельный участок, находящийся в государственной или муниципальной собственности, не может быть предметом аукциона, если: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границы земельного участка подлежат уточнению в соответствии с требованиями Федерального закона от 24.07.2007 №221-ФЗ «О государственном кадастре недвижимости»;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в отношении земельного участка в установленном законодательством Российской Федерации порядке не определены предельные параметры разрешённого строительства, реконструкции, за исключением случаев, если в соответствии с разрешённым использованием земельного участка не предусматривается возможность строительства зданий, сооружений;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разрешённым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 или ведения дачного хозяйства;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в отношении земельного участка не установлено разрешённое использование или разрешённое использование земельного участка не соответствует целям использования земельного участка, указанным в заявлении о проведении аукциона;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земельный участок не отнесён к определённой категории земель;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8) на земельном участке расположены здание, сооружение, объект незавершённого строительства, принадлежащие гражданам или юридическим лицам, за исключением случаев размещения сооружения (в том числе сооружения, строительство которого не завершено) на земельном участке на условиях сервитута или объекта, который предусмотрен п.3 ст.39.36 Земельного кодекса Российской Федерации и размещение которого не препятствует использованию такого земельного участка в соответствии с его разрешённым использованием;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9) на земельном участке расположены здание, сооружение, объект незавершённого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незавершённого строительства является предметом другого аукциона либо указанные здание, сооружение, объект незавершённого строительства не продаются или не передаются в аренду на этом аукционе одновременно с земельным участком;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10)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11) земельный участок ограничен в обороте, за исключением случая проведения аукциона на право заключения договора аренды земельного участка;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12)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13) земельный участок расположен в границах застроенной территории, в отношении которой заключен договор о её развитии, или территории, в отношении которой заключен договор о её комплексном освоении;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14) земельный участок в соответствии с утверждёнными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15)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Карачаево-Черкесской Республики или адресной инвестиционной программой;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16) в отношении земельного участка принято решение о предварительном согласовании его предоставления;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17)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18) земельный участок является земельным участком общего пользования или расположен в границах земель общего пользования, территории общего 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19)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 </w:t>
      </w:r>
    </w:p>
    <w:p>
      <w:pPr>
        <w:pStyle w:val="2"/>
        <w:jc w:val="both"/>
        <w:rPr>
          <w:rFonts w:ascii="Times New Roman" w:hAnsi="Times New Roman" w:cs="Times New Roman"/>
          <w:b/>
          <w:b/>
          <w:i/>
          <w:i/>
          <w:color w:val="00000A"/>
          <w:sz w:val="24"/>
          <w:szCs w:val="24"/>
        </w:rPr>
      </w:pPr>
      <w:bookmarkStart w:id="48" w:name="_Toc485621454"/>
      <w:r>
        <w:rPr>
          <w:rFonts w:cs="Times New Roman" w:ascii="Times New Roman" w:hAnsi="Times New Roman"/>
          <w:b/>
          <w:i/>
          <w:color w:val="00000A"/>
          <w:sz w:val="24"/>
          <w:szCs w:val="24"/>
        </w:rPr>
        <w:t>Статья 38. Территории общего пользования. Земельные участки в границах территорий общего пользования</w:t>
      </w:r>
      <w:bookmarkEnd w:id="48"/>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Территории общего пользования - территории, которыми беспрепятственно пользуется неограниченный круг лиц.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Земельные участки (земли) в границах территорий общего пользования - земельные участки (земли) общего пользования, находящиеся в государственной или муниципальной собственности, занятые площадями, улицами, проездами, набережными, парками, лесопарками, скверами, садами, бульварами, водными объектами, пляжами и другими объектами рекреационного назначения, автомобильными дорогами и другими объектами, не закрытыми для общего пользования (доступа).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Территории общего пользования рассматриваются как совокупность земельных участков общего 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Земельные участки (земли) общего пользования не подлежат приватизации, могут включаться в состав различных территориальных зон, ими беспрепятственно пользуется неограниченный круг лиц.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В составе документации по планировке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границы существующих, планируемых (изменяемых, вновь образуемых) территорий общего пользования отображаются в проектах планировки территорий посредством красных линий;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в проекте межевания территории должны быть указаны образуемые земельные участки, которые после образования будут относиться к территориям общего 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Использование земельных участков (земель) общего пользования определяется их назначением в соответствии с законодательством Российской Федерации.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Ограничения по распоряжению земельными участками общего пользования указаны в ч.4 настоящей статьи, </w:t>
      </w:r>
      <w:r>
        <w:rPr>
          <w:rFonts w:cs="Times New Roman" w:ascii="Times New Roman" w:hAnsi="Times New Roman"/>
          <w:b/>
          <w:bCs/>
          <w:sz w:val="24"/>
          <w:szCs w:val="24"/>
        </w:rPr>
        <w:t>ст.37 настоящих Правил</w:t>
      </w:r>
      <w:r>
        <w:rPr>
          <w:rFonts w:cs="Times New Roman" w:ascii="Times New Roman" w:hAnsi="Times New Roman"/>
          <w:sz w:val="24"/>
          <w:szCs w:val="24"/>
        </w:rPr>
        <w:t xml:space="preserve">. </w:t>
      </w:r>
    </w:p>
    <w:p>
      <w:pPr>
        <w:pStyle w:val="2"/>
        <w:jc w:val="both"/>
        <w:rPr>
          <w:rFonts w:ascii="Times New Roman" w:hAnsi="Times New Roman" w:cs="Times New Roman"/>
          <w:b/>
          <w:b/>
          <w:i/>
          <w:i/>
          <w:color w:val="00000A"/>
          <w:sz w:val="24"/>
          <w:szCs w:val="24"/>
        </w:rPr>
      </w:pPr>
      <w:bookmarkStart w:id="49" w:name="_Toc485621455"/>
      <w:r>
        <w:rPr>
          <w:rFonts w:cs="Times New Roman" w:ascii="Times New Roman" w:hAnsi="Times New Roman"/>
          <w:b/>
          <w:i/>
          <w:color w:val="00000A"/>
          <w:sz w:val="24"/>
          <w:szCs w:val="24"/>
        </w:rPr>
        <w:t>Статья 39. Контроль за использованием объектов недвижимости</w:t>
      </w:r>
      <w:bookmarkEnd w:id="49"/>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Контроль за использованием объектов недвижимости осуществляют должностные лица надзорных и контролирующих органов, которым в соответствии с законодательством Российской Федерации предоставлены такие полномочия.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Должностные лица надзорных и контролирующих органов, действуя в соответствии с законодательством Российской Федерации, вправе производить наружный и внутренний осмотр объектов недвижимости, получать от правообладателей недвижимости необходимую информацию, знакомиться с документацией, относящейся к использованию и изменению объектов недвижимости. </w:t>
      </w:r>
    </w:p>
    <w:p>
      <w:pPr>
        <w:pStyle w:val="Default"/>
        <w:ind w:firstLine="709"/>
        <w:jc w:val="both"/>
        <w:rPr>
          <w:color w:val="00000A"/>
        </w:rPr>
      </w:pPr>
      <w:r>
        <w:rPr>
          <w:color w:val="00000A"/>
        </w:rPr>
        <w:t>3. Правообладатели объектов недвижимости обязаны оказывать должностным лицам надзорных и контрольных органов, действующим в соответствии с законодательством Российской Федерации, содействие в выполнении ими своих обязанностей.</w:t>
      </w:r>
    </w:p>
    <w:p>
      <w:pPr>
        <w:pStyle w:val="Normal"/>
        <w:keepNext/>
        <w:keepLines/>
        <w:widowControl w:val="false"/>
        <w:numPr>
          <w:ilvl w:val="0"/>
          <w:numId w:val="0"/>
        </w:numPr>
        <w:spacing w:lineRule="auto" w:line="240" w:before="0" w:after="0"/>
        <w:outlineLvl w:val="1"/>
        <w:rPr>
          <w:rFonts w:ascii="Times New Roman" w:hAnsi="Times New Roman" w:eastAsia="Calibri" w:cs="Times New Roman"/>
          <w:b/>
          <w:b/>
          <w:bCs/>
          <w:i/>
          <w:i/>
          <w:sz w:val="24"/>
          <w:szCs w:val="24"/>
          <w:lang w:eastAsia="ar-SA" w:bidi="ru-RU"/>
        </w:rPr>
      </w:pPr>
      <w:bookmarkStart w:id="50" w:name="_Toc484865811"/>
      <w:bookmarkStart w:id="51" w:name="_Toc485621456"/>
      <w:r>
        <w:rPr>
          <w:rFonts w:eastAsia="Times New Roman" w:cs="Times New Roman" w:ascii="Times New Roman" w:hAnsi="Times New Roman"/>
          <w:b/>
          <w:bCs/>
          <w:i/>
          <w:sz w:val="24"/>
          <w:szCs w:val="24"/>
          <w:lang w:bidi="ru-RU"/>
        </w:rPr>
        <w:t xml:space="preserve">Статья 40. </w:t>
      </w:r>
      <w:bookmarkEnd w:id="50"/>
      <w:bookmarkEnd w:id="51"/>
      <w:r>
        <w:rPr>
          <w:rFonts w:eastAsia="Calibri" w:cs="Times New Roman" w:ascii="Times New Roman" w:hAnsi="Times New Roman"/>
          <w:b/>
          <w:bCs/>
          <w:i/>
          <w:sz w:val="24"/>
          <w:szCs w:val="24"/>
          <w:lang w:eastAsia="ar-SA" w:bidi="ru-RU"/>
        </w:rPr>
        <w:t>Размещение рекламных конструкций</w:t>
      </w:r>
    </w:p>
    <w:p>
      <w:pPr>
        <w:pStyle w:val="Normal"/>
        <w:widowControl w:val="false"/>
        <w:suppressAutoHyphens w:val="true"/>
        <w:spacing w:lineRule="auto" w:line="240" w:before="0" w:after="0"/>
        <w:ind w:firstLine="567"/>
        <w:jc w:val="both"/>
        <w:rPr>
          <w:rFonts w:ascii="Times New Roman" w:hAnsi="Times New Roman" w:eastAsia="Lucida Sans Unicode" w:cs="Times New Roman"/>
          <w:sz w:val="24"/>
          <w:szCs w:val="24"/>
          <w:lang w:eastAsia="ar-SA"/>
        </w:rPr>
      </w:pPr>
      <w:r>
        <w:rPr>
          <w:rFonts w:eastAsia="Lucida Sans Unicode" w:cs="Times New Roman" w:ascii="Times New Roman" w:hAnsi="Times New Roman"/>
          <w:sz w:val="24"/>
          <w:szCs w:val="24"/>
          <w:lang w:eastAsia="ar-SA"/>
        </w:rPr>
        <w:t>Во всех территориальных зонах сельского поселения допускается без отдельного указания в регламенте установка и эксплуатация рекламных конструкций при условии соответствия места установки рекламной конструкции Схеме размещения рекламных конструкций на территории Урупского муниципального района.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Установка и эксплуатация рекламной конструкции допускаются при наличии разрешения на установку и эксплуатацию рекламной конструкции, выдаваемого в соответствии с утвержденной схемой размещения рекламных конструкций администрацией Урупского муниципального района Карачаево-Черкесской Республики.</w:t>
      </w:r>
    </w:p>
    <w:p>
      <w:pPr>
        <w:pStyle w:val="1"/>
        <w:jc w:val="both"/>
        <w:rPr>
          <w:rFonts w:ascii="Times New Roman" w:hAnsi="Times New Roman" w:cs="Times New Roman"/>
          <w:b/>
          <w:b/>
          <w:color w:val="00000A"/>
          <w:sz w:val="24"/>
          <w:szCs w:val="24"/>
        </w:rPr>
      </w:pPr>
      <w:bookmarkStart w:id="52" w:name="_Toc485621457"/>
      <w:r>
        <w:rPr>
          <w:rFonts w:cs="Times New Roman" w:ascii="Times New Roman" w:hAnsi="Times New Roman"/>
          <w:b/>
          <w:color w:val="00000A"/>
          <w:sz w:val="24"/>
          <w:szCs w:val="24"/>
        </w:rPr>
        <w:t>РАЗДЕЛ II. КАРТА ГРАДОСТРОИТЕЛЬНОГО ЗОНИРОВАНИЯ</w:t>
      </w:r>
      <w:bookmarkEnd w:id="52"/>
      <w:r>
        <w:rPr>
          <w:rFonts w:cs="Times New Roman" w:ascii="Times New Roman" w:hAnsi="Times New Roman"/>
          <w:b/>
          <w:color w:val="00000A"/>
          <w:sz w:val="24"/>
          <w:szCs w:val="24"/>
        </w:rPr>
        <w:t xml:space="preserve"> </w:t>
      </w:r>
    </w:p>
    <w:p>
      <w:pPr>
        <w:pStyle w:val="1"/>
        <w:jc w:val="both"/>
        <w:rPr>
          <w:rFonts w:ascii="Times New Roman" w:hAnsi="Times New Roman" w:cs="Times New Roman"/>
          <w:b/>
          <w:b/>
          <w:color w:val="00000A"/>
          <w:sz w:val="24"/>
          <w:szCs w:val="24"/>
        </w:rPr>
      </w:pPr>
      <w:bookmarkStart w:id="53" w:name="_Toc485621458"/>
      <w:r>
        <w:rPr>
          <w:rFonts w:cs="Times New Roman" w:ascii="Times New Roman" w:hAnsi="Times New Roman"/>
          <w:b/>
          <w:color w:val="00000A"/>
          <w:sz w:val="24"/>
          <w:szCs w:val="24"/>
        </w:rPr>
        <w:t>ГЛАВА 8. КАРТА ГРАДОСТРОИТЕЛЬНОГО ЗОНИРОВАНИЯ, КАРТА ЗОН С ОСОБЫМИ УСЛОВИЯМИ ИСПОЛЬЗОВАНИЯ ТЕРРИТОРИЙ</w:t>
      </w:r>
      <w:bookmarkEnd w:id="53"/>
      <w:r>
        <w:rPr>
          <w:rFonts w:cs="Times New Roman" w:ascii="Times New Roman" w:hAnsi="Times New Roman"/>
          <w:b/>
          <w:color w:val="00000A"/>
          <w:sz w:val="24"/>
          <w:szCs w:val="24"/>
        </w:rPr>
        <w:t xml:space="preserve"> </w:t>
      </w:r>
    </w:p>
    <w:p>
      <w:pPr>
        <w:pStyle w:val="2"/>
        <w:jc w:val="both"/>
        <w:rPr>
          <w:rFonts w:ascii="Times New Roman" w:hAnsi="Times New Roman" w:cs="Times New Roman"/>
          <w:b/>
          <w:b/>
          <w:i/>
          <w:i/>
          <w:color w:val="00000A"/>
          <w:sz w:val="24"/>
          <w:szCs w:val="24"/>
        </w:rPr>
      </w:pPr>
      <w:bookmarkStart w:id="54" w:name="_Toc485621459"/>
      <w:r>
        <w:rPr>
          <w:rFonts w:cs="Times New Roman" w:ascii="Times New Roman" w:hAnsi="Times New Roman"/>
          <w:b/>
          <w:i/>
          <w:color w:val="00000A"/>
          <w:sz w:val="24"/>
          <w:szCs w:val="24"/>
        </w:rPr>
        <w:t>Статья 41. Состав и содержание карты градостроительного зонирования</w:t>
      </w:r>
      <w:bookmarkEnd w:id="54"/>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Карта градостроительного зонирования представляет собой документ градостроительного зонирования, отображающий границу Загеданского сельского поселения, границы населённых пунктов, устанавливающий границы территориальных зон и территорий, для которых градостроительные регламенты не устанавливаются.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Вся территория сельского поселения, включая земельные участки, находящиеся в государственной, муниципальной и частной собственности, а также бесхозяйные земельные участки, в пределах границ сельского поселения делится на территориальные зоны, границы которых устанавливаются на карте градостроительного зонирования.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Для земельных участков и объектов капитального строительства, расположенных в одной территориальной зоне, устанавливаются общие требования градостроительных регламентов по видам разрешённого использования земельных участков и объектов капитального строительства, предельным размерам земельных участков и предельным параметрам разрешённого строительства, реконструкции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Границы территориальных зон устанавливаются с учётом соблюдения требования принадлежности каждого земельного участка только к одной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Территориальные зоны, как правило, не устанавливаются применительно к одному земельному участку.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Границы территориальных зон устанавливаются с учётом: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функциональных зон и характеристик их планируемого развития, определённых генеральным планом сельского поселения;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определённых Градостроительным </w:t>
      </w:r>
      <w:r>
        <w:rPr>
          <w:rFonts w:cs="Times New Roman" w:ascii="Times New Roman" w:hAnsi="Times New Roman"/>
          <w:bCs/>
          <w:sz w:val="24"/>
          <w:szCs w:val="24"/>
        </w:rPr>
        <w:t>кодексом</w:t>
      </w:r>
      <w:r>
        <w:rPr>
          <w:rFonts w:cs="Times New Roman" w:ascii="Times New Roman" w:hAnsi="Times New Roman"/>
          <w:b/>
          <w:bCs/>
          <w:sz w:val="24"/>
          <w:szCs w:val="24"/>
        </w:rPr>
        <w:t xml:space="preserve"> </w:t>
      </w:r>
      <w:r>
        <w:rPr>
          <w:rFonts w:cs="Times New Roman" w:ascii="Times New Roman" w:hAnsi="Times New Roman"/>
          <w:sz w:val="24"/>
          <w:szCs w:val="24"/>
        </w:rPr>
        <w:t xml:space="preserve">Российской Федерации видов территориальных зон; </w:t>
      </w:r>
    </w:p>
    <w:p>
      <w:pPr>
        <w:pStyle w:val="Default"/>
        <w:ind w:firstLine="709"/>
        <w:jc w:val="both"/>
        <w:rPr>
          <w:color w:val="00000A"/>
        </w:rPr>
      </w:pPr>
      <w:r>
        <w:rPr>
          <w:color w:val="00000A"/>
        </w:rPr>
        <w:t xml:space="preserve">4) сложившейся планировки территории и существующего землепользования </w:t>
      </w:r>
    </w:p>
    <w:p>
      <w:pPr>
        <w:pStyle w:val="Default"/>
        <w:ind w:firstLine="709"/>
        <w:jc w:val="both"/>
        <w:rPr>
          <w:color w:val="00000A"/>
        </w:rPr>
      </w:pPr>
      <w:r>
        <w:rPr>
          <w:color w:val="00000A"/>
        </w:rPr>
        <w:t xml:space="preserve">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предотвращения возможности причинения вреда объектам капитального строительства, расположенным на смежных земельных участках.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7. Границы территориальных зон устанавливаются по: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линиям магистралей, улиц, проездов, разделяющим транспортные потоки противоположных направлений;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красным линиям;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3) границам земельных участков;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границам населённых пунктов в пределах муниципальных образований;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5) естественным границам природных объектов;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6) иным границам. </w:t>
      </w:r>
    </w:p>
    <w:p>
      <w:pPr>
        <w:pStyle w:val="2"/>
        <w:jc w:val="both"/>
        <w:rPr>
          <w:rFonts w:ascii="Times New Roman" w:hAnsi="Times New Roman" w:cs="Times New Roman"/>
          <w:b/>
          <w:b/>
          <w:i/>
          <w:i/>
          <w:color w:val="00000A"/>
          <w:sz w:val="24"/>
          <w:szCs w:val="24"/>
        </w:rPr>
      </w:pPr>
      <w:bookmarkStart w:id="55" w:name="_Toc485621460"/>
      <w:r>
        <w:rPr>
          <w:rFonts w:cs="Times New Roman" w:ascii="Times New Roman" w:hAnsi="Times New Roman"/>
          <w:b/>
          <w:i/>
          <w:color w:val="00000A"/>
          <w:sz w:val="24"/>
          <w:szCs w:val="24"/>
        </w:rPr>
        <w:t>Статья 42. Состав и содержание карты зон с особыми условиями использования территорий</w:t>
      </w:r>
      <w:bookmarkEnd w:id="55"/>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Карта зон с особыми условиями использования территорий представляет собой документ градостроительного зонирования, содержащий сведения, определённые ч.1 </w:t>
      </w:r>
      <w:r>
        <w:rPr>
          <w:rFonts w:cs="Times New Roman" w:ascii="Times New Roman" w:hAnsi="Times New Roman"/>
          <w:b/>
          <w:bCs/>
          <w:sz w:val="24"/>
          <w:szCs w:val="24"/>
        </w:rPr>
        <w:t>ст.42 настоящих Правил</w:t>
      </w:r>
      <w:r>
        <w:rPr>
          <w:rFonts w:cs="Times New Roman" w:ascii="Times New Roman" w:hAnsi="Times New Roman"/>
          <w:sz w:val="24"/>
          <w:szCs w:val="24"/>
        </w:rPr>
        <w:t xml:space="preserve">, и отображающий </w:t>
      </w:r>
      <w:r>
        <w:rPr>
          <w:rFonts w:cs="Times New Roman" w:ascii="Times New Roman" w:hAnsi="Times New Roman"/>
          <w:b/>
          <w:bCs/>
          <w:sz w:val="24"/>
          <w:szCs w:val="24"/>
        </w:rPr>
        <w:t xml:space="preserve">границы зон с особыми условиями </w:t>
      </w:r>
      <w:r>
        <w:rPr>
          <w:rFonts w:cs="Times New Roman" w:ascii="Times New Roman" w:hAnsi="Times New Roman"/>
          <w:sz w:val="24"/>
          <w:szCs w:val="24"/>
        </w:rPr>
        <w:t xml:space="preserve">использования территорий.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Перечень зон с особыми условиями использования территорий, отображаемых на карте зон с особыми условиями использования территорий: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охранные зоны;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санитарно-защитные зоны;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санитарные разрывы;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 зоны санитарной охраны источников водоснабжения. </w:t>
      </w:r>
    </w:p>
    <w:p>
      <w:pPr>
        <w:pStyle w:val="2"/>
        <w:jc w:val="both"/>
        <w:rPr>
          <w:rFonts w:ascii="Times New Roman" w:hAnsi="Times New Roman" w:cs="Times New Roman"/>
          <w:b/>
          <w:b/>
          <w:i/>
          <w:i/>
          <w:color w:val="00000A"/>
          <w:sz w:val="24"/>
          <w:szCs w:val="24"/>
        </w:rPr>
      </w:pPr>
      <w:bookmarkStart w:id="56" w:name="_Toc485621461"/>
      <w:r>
        <w:rPr>
          <w:rFonts w:cs="Times New Roman" w:ascii="Times New Roman" w:hAnsi="Times New Roman"/>
          <w:b/>
          <w:i/>
          <w:color w:val="00000A"/>
          <w:sz w:val="24"/>
          <w:szCs w:val="24"/>
        </w:rPr>
        <w:t>Статья 43. Порядок ведения карты градостроительного зонирования, карты зон с особыми условиями использования территорий</w:t>
      </w:r>
      <w:bookmarkEnd w:id="56"/>
      <w:r>
        <w:rPr>
          <w:rFonts w:cs="Times New Roman" w:ascii="Times New Roman" w:hAnsi="Times New Roman"/>
          <w:b/>
          <w:i/>
          <w:color w:val="00000A"/>
          <w:sz w:val="24"/>
          <w:szCs w:val="24"/>
        </w:rPr>
        <w:t xml:space="preserve">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В случае изменения границы Загеданского сельского поселения, границ населённых пунктов, границ земель различных категорий, расположенных на территории сельского поселения, поступления предложений об изменении границ и (или) видов территориальных зон, установления в соответствии с действующим законодательством Российской Федерации или изменения границ зон с особыми условиями использования территорий требуется соответствующее изменение карты градостроительного зонирования и (или) карты зон с особыми условиями использования территорий посредством внесения изменений в настоящие Правила. </w:t>
      </w:r>
    </w:p>
    <w:p>
      <w:pPr>
        <w:pStyle w:val="Default"/>
        <w:ind w:firstLine="709"/>
        <w:jc w:val="both"/>
        <w:rPr>
          <w:color w:val="00000A"/>
        </w:rPr>
      </w:pPr>
      <w:r>
        <w:rPr>
          <w:color w:val="00000A"/>
        </w:rPr>
        <w:t xml:space="preserve">2. Внесение изменений в Правила осуществляется в соответствии со </w:t>
      </w:r>
      <w:r>
        <w:rPr>
          <w:b/>
          <w:bCs/>
          <w:color w:val="00000A"/>
        </w:rPr>
        <w:t>ст.32 настоящих Правил</w:t>
      </w:r>
      <w:r>
        <w:rPr>
          <w:color w:val="00000A"/>
        </w:rPr>
        <w:t xml:space="preserve">. </w:t>
      </w:r>
    </w:p>
    <w:p>
      <w:pPr>
        <w:pStyle w:val="2"/>
        <w:jc w:val="both"/>
        <w:rPr>
          <w:rFonts w:ascii="Times New Roman" w:hAnsi="Times New Roman" w:cs="Times New Roman"/>
          <w:b/>
          <w:b/>
          <w:i/>
          <w:i/>
          <w:color w:val="00000A"/>
          <w:sz w:val="24"/>
          <w:szCs w:val="24"/>
        </w:rPr>
      </w:pPr>
      <w:bookmarkStart w:id="57" w:name="_Toc485621462"/>
      <w:r>
        <w:rPr>
          <w:rFonts w:cs="Times New Roman" w:ascii="Times New Roman" w:hAnsi="Times New Roman"/>
          <w:b/>
          <w:i/>
          <w:color w:val="00000A"/>
          <w:sz w:val="24"/>
          <w:szCs w:val="24"/>
        </w:rPr>
        <w:t>Статья 44. Виды территориальных зон, определённых на карте градостроительного зонирования, карте зон с особыми условиями использования территорий</w:t>
      </w:r>
      <w:bookmarkEnd w:id="57"/>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В результате градостроительного зонирования на карте градостроительного зонирования, карте зон с особыми условиями использования территорий определены виды территориальных зон, представленные в таблице 1. </w:t>
      </w:r>
    </w:p>
    <w:p>
      <w:pPr>
        <w:pStyle w:val="Default"/>
        <w:ind w:firstLine="709"/>
        <w:jc w:val="right"/>
        <w:rPr>
          <w:color w:val="00000A"/>
        </w:rPr>
      </w:pPr>
      <w:r>
        <w:rPr>
          <w:b/>
          <w:bCs/>
          <w:color w:val="00000A"/>
        </w:rPr>
        <w:t xml:space="preserve">Таблица 1 </w:t>
      </w:r>
    </w:p>
    <w:tbl>
      <w:tblPr>
        <w:tblW w:w="9624"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5" w:type="dxa"/>
          <w:bottom w:w="0" w:type="dxa"/>
          <w:right w:w="10" w:type="dxa"/>
        </w:tblCellMar>
        <w:tblLook w:firstRow="1" w:noVBand="1" w:lastRow="0" w:firstColumn="1" w:lastColumn="0" w:noHBand="0" w:val="04a0"/>
      </w:tblPr>
      <w:tblGrid>
        <w:gridCol w:w="1561"/>
        <w:gridCol w:w="8062"/>
      </w:tblGrid>
      <w:tr>
        <w:trPr>
          <w:trHeight w:val="845"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center"/>
          </w:tcPr>
          <w:p>
            <w:pPr>
              <w:pStyle w:val="Normal"/>
              <w:widowControl w:val="false"/>
              <w:spacing w:before="0" w:after="16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Обозначения</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center"/>
          </w:tcPr>
          <w:p>
            <w:pPr>
              <w:pStyle w:val="Normal"/>
              <w:widowControl w:val="false"/>
              <w:spacing w:before="0" w:after="16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Наименование территориальных зон</w:t>
            </w:r>
          </w:p>
        </w:tc>
      </w:tr>
      <w:tr>
        <w:trPr>
          <w:trHeight w:val="283"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2</w:t>
            </w:r>
          </w:p>
        </w:tc>
      </w:tr>
      <w:tr>
        <w:trPr>
          <w:trHeight w:val="288"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jc w:val="center"/>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Ж</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jc w:val="both"/>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ЖИЛЫЕ ЗОНЫ</w:t>
            </w:r>
          </w:p>
        </w:tc>
      </w:tr>
      <w:tr>
        <w:trPr>
          <w:trHeight w:val="623"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Ж-1</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застройки индивидуальными усадебными жилыми домами (не более 3 этажей)</w:t>
            </w:r>
          </w:p>
        </w:tc>
      </w:tr>
      <w:tr>
        <w:trPr>
          <w:trHeight w:val="283"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Ж-3</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застройки среднеэтажными жилыми домами (5-8 этажей)</w:t>
            </w:r>
          </w:p>
        </w:tc>
      </w:tr>
      <w:tr>
        <w:trPr>
          <w:trHeight w:val="549"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jc w:val="center"/>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ОД</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jc w:val="both"/>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ОБЩЕСТВЕННО-ДЕЛОВЫЕЗОНЫ МНОГОФУНКЦИОНАЛЬНОГО НАЗНАЧЕНИЯ</w:t>
            </w:r>
          </w:p>
        </w:tc>
      </w:tr>
      <w:tr>
        <w:trPr>
          <w:trHeight w:val="283"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ОД-1</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делового, общественного и коммерческого назначения</w:t>
            </w:r>
          </w:p>
        </w:tc>
      </w:tr>
      <w:tr>
        <w:trPr>
          <w:trHeight w:val="288"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jc w:val="center"/>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Р</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РЕКРЕАЦИОННЫЕ ЗОНЫ</w:t>
            </w:r>
          </w:p>
        </w:tc>
      </w:tr>
      <w:tr>
        <w:trPr>
          <w:trHeight w:val="283"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Р-1</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ind w:firstLine="567"/>
              <w:rPr>
                <w:rFonts w:ascii="Times New Roman" w:hAnsi="Times New Roman" w:eastAsia="Times New Roman" w:cs="Times New Roman"/>
                <w:sz w:val="24"/>
                <w:szCs w:val="24"/>
                <w:lang w:bidi="ru-RU"/>
              </w:rPr>
            </w:pPr>
            <w:r>
              <w:rPr>
                <w:rFonts w:eastAsia="Times New Roman" w:cs="Times New Roman" w:ascii="Times New Roman" w:hAnsi="Times New Roman"/>
                <w:bCs/>
                <w:sz w:val="24"/>
                <w:szCs w:val="24"/>
                <w:shd w:fill="FFFFFF" w:val="clear"/>
                <w:lang w:bidi="ru-RU"/>
              </w:rPr>
              <w:t>Зона рекреационного назначения</w:t>
            </w:r>
          </w:p>
          <w:p>
            <w:pPr>
              <w:pStyle w:val="Normal"/>
              <w:widowControl w:val="false"/>
              <w:numPr>
                <w:ilvl w:val="0"/>
                <w:numId w:val="1"/>
              </w:numPr>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b/>
                <w:bCs/>
                <w:sz w:val="24"/>
                <w:szCs w:val="24"/>
                <w:shd w:fill="FFFFFF" w:val="clear"/>
                <w:lang w:bidi="ru-RU"/>
              </w:rPr>
              <w:t>назначения</w:t>
            </w:r>
          </w:p>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r>
          </w:p>
        </w:tc>
      </w:tr>
      <w:tr>
        <w:trPr>
          <w:trHeight w:val="619"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Р-2</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b/>
                <w:b/>
                <w:sz w:val="24"/>
                <w:szCs w:val="24"/>
                <w:lang w:bidi="ru-RU"/>
              </w:rPr>
            </w:pPr>
            <w:r>
              <w:rPr>
                <w:rFonts w:eastAsia="Times New Roman" w:cs="Times New Roman" w:ascii="Times New Roman" w:hAnsi="Times New Roman"/>
                <w:bCs/>
                <w:sz w:val="24"/>
                <w:szCs w:val="24"/>
                <w:lang w:bidi="ru-RU"/>
              </w:rPr>
              <w:t>Зона зеленых насаждений и озеленённых территорий защитного значения</w:t>
            </w:r>
          </w:p>
        </w:tc>
      </w:tr>
      <w:tr>
        <w:trPr>
          <w:trHeight w:val="283"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tcPr>
          <w:p>
            <w:pPr>
              <w:pStyle w:val="Normal"/>
              <w:widowControl w:val="false"/>
              <w:spacing w:before="0" w:after="160"/>
              <w:ind w:firstLine="567"/>
              <w:jc w:val="center"/>
              <w:rPr>
                <w:rFonts w:ascii="Times New Roman" w:hAnsi="Times New Roman" w:eastAsia="Tahoma" w:cs="Times New Roman"/>
                <w:b/>
                <w:b/>
                <w:sz w:val="24"/>
                <w:szCs w:val="24"/>
                <w:lang w:bidi="ru-RU"/>
              </w:rPr>
            </w:pPr>
            <w:r>
              <w:rPr>
                <w:rFonts w:eastAsia="Tahoma" w:cs="Times New Roman" w:ascii="Times New Roman" w:hAnsi="Times New Roman"/>
                <w:b/>
                <w:sz w:val="24"/>
                <w:szCs w:val="24"/>
                <w:lang w:bidi="ru-RU"/>
              </w:rPr>
              <w:t>ИТ</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tcPr>
          <w:p>
            <w:pPr>
              <w:pStyle w:val="Normal"/>
              <w:widowControl w:val="false"/>
              <w:spacing w:before="0" w:after="160"/>
              <w:rPr>
                <w:rFonts w:ascii="Times New Roman" w:hAnsi="Times New Roman" w:eastAsia="Tahoma" w:cs="Times New Roman"/>
                <w:sz w:val="24"/>
                <w:szCs w:val="24"/>
                <w:lang w:bidi="ru-RU"/>
              </w:rPr>
            </w:pPr>
            <w:r>
              <w:rPr>
                <w:rFonts w:eastAsia="Tahoma" w:cs="Times New Roman" w:ascii="Times New Roman" w:hAnsi="Times New Roman"/>
                <w:b/>
                <w:smallCaps/>
                <w:sz w:val="24"/>
                <w:szCs w:val="24"/>
                <w:lang w:bidi="ru-RU"/>
              </w:rPr>
              <w:t>ЗОНЫ ИНЖЕНЕРНОЙ И ТРАНСПОРТНОЙ ИНФРАСТРУКТУР</w:t>
            </w:r>
          </w:p>
        </w:tc>
      </w:tr>
      <w:tr>
        <w:trPr>
          <w:trHeight w:val="897"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ИТ-1</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lang w:bidi="ru-RU"/>
              </w:rPr>
              <w:t>Зона предприятий автомобильного транспорта, магистральных улиц, дорог, объектов коммунального хозяйства и объектов инженерной инфраструктуры</w:t>
            </w:r>
          </w:p>
        </w:tc>
      </w:tr>
      <w:tr>
        <w:trPr>
          <w:trHeight w:val="301"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ИТ-3</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ahoma" w:cs="Times New Roman"/>
                <w:sz w:val="24"/>
                <w:szCs w:val="24"/>
                <w:lang w:bidi="ru-RU"/>
              </w:rPr>
            </w:pPr>
            <w:r>
              <w:rPr>
                <w:rFonts w:eastAsia="Tahoma" w:cs="Times New Roman" w:ascii="Times New Roman" w:hAnsi="Times New Roman"/>
                <w:sz w:val="24"/>
                <w:szCs w:val="24"/>
                <w:lang w:bidi="ru-RU"/>
              </w:rPr>
              <w:t>Зона воздушного транспорта</w:t>
            </w:r>
          </w:p>
        </w:tc>
      </w:tr>
      <w:tr>
        <w:trPr>
          <w:trHeight w:val="301"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jc w:val="center"/>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ОБ</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ЗОНЫ ОБЕСПЕЧЕНИЯ ОБОРОНЫ И БЕЗОПАСНОСТИ</w:t>
            </w:r>
          </w:p>
        </w:tc>
      </w:tr>
      <w:tr>
        <w:trPr>
          <w:trHeight w:val="301"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обеспечения обороны и безопасности</w:t>
            </w:r>
          </w:p>
        </w:tc>
      </w:tr>
      <w:tr>
        <w:trPr>
          <w:trHeight w:val="283"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jc w:val="center"/>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СП</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ЗОНЫ СПЕЦИАЛЬНОГО НАЗНАЧЕНИЯ</w:t>
            </w:r>
          </w:p>
        </w:tc>
      </w:tr>
      <w:tr>
        <w:trPr>
          <w:trHeight w:val="288"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СП-1</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кладбищ</w:t>
            </w:r>
          </w:p>
        </w:tc>
      </w:tr>
      <w:tr>
        <w:trPr>
          <w:trHeight w:val="283"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jc w:val="center"/>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СХ</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rPr>
                <w:rFonts w:ascii="Times New Roman" w:hAnsi="Times New Roman" w:eastAsia="Times New Roman" w:cs="Times New Roman"/>
                <w:b/>
                <w:b/>
                <w:sz w:val="24"/>
                <w:szCs w:val="24"/>
                <w:lang w:bidi="ru-RU"/>
              </w:rPr>
            </w:pPr>
            <w:r>
              <w:rPr>
                <w:rFonts w:eastAsia="Times New Roman" w:cs="Times New Roman" w:ascii="Times New Roman" w:hAnsi="Times New Roman"/>
                <w:b/>
                <w:sz w:val="24"/>
                <w:szCs w:val="24"/>
                <w:lang w:bidi="ru-RU"/>
              </w:rPr>
              <w:t>ЗОНА СЕЛЬСКОХОЗЯЙСТВЕННОГО ИСПОЛЬЗОВАНИЯ</w:t>
            </w:r>
          </w:p>
        </w:tc>
      </w:tr>
      <w:tr>
        <w:trPr>
          <w:trHeight w:val="288"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СХ-1</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vAlign w:val="bottom"/>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сельскохозяйственного использования</w:t>
            </w:r>
          </w:p>
        </w:tc>
      </w:tr>
      <w:tr>
        <w:trPr>
          <w:trHeight w:val="571" w:hRule="exact"/>
        </w:trPr>
        <w:tc>
          <w:tcPr>
            <w:tcW w:w="15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tcPr>
          <w:p>
            <w:pPr>
              <w:pStyle w:val="Normal"/>
              <w:widowControl w:val="false"/>
              <w:spacing w:before="0" w:after="160"/>
              <w:ind w:firstLine="567"/>
              <w:rPr>
                <w:rFonts w:ascii="Times New Roman" w:hAnsi="Times New Roman" w:eastAsia="Times New Roman" w:cs="Times New Roman"/>
                <w:sz w:val="24"/>
                <w:szCs w:val="24"/>
                <w:lang w:val="en-US" w:bidi="ru-RU"/>
              </w:rPr>
            </w:pPr>
            <w:r>
              <w:rPr>
                <w:rFonts w:eastAsia="Times New Roman" w:cs="Times New Roman" w:ascii="Times New Roman" w:hAnsi="Times New Roman"/>
                <w:sz w:val="24"/>
                <w:szCs w:val="24"/>
                <w:lang w:bidi="ru-RU"/>
              </w:rPr>
              <w:t>СХ-</w:t>
            </w:r>
            <w:r>
              <w:rPr>
                <w:rFonts w:eastAsia="Times New Roman" w:cs="Times New Roman" w:ascii="Times New Roman" w:hAnsi="Times New Roman"/>
                <w:sz w:val="24"/>
                <w:szCs w:val="24"/>
                <w:lang w:val="en-US" w:bidi="ru-RU"/>
              </w:rPr>
              <w:t>2</w:t>
            </w:r>
          </w:p>
        </w:tc>
        <w:tc>
          <w:tcPr>
            <w:tcW w:w="80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tcMar>
          </w:tcPr>
          <w:p>
            <w:pPr>
              <w:pStyle w:val="Normal"/>
              <w:widowControl w:val="false"/>
              <w:spacing w:before="0" w:after="16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производственных и складских объектов сельскохозяйственного назначения</w:t>
            </w:r>
          </w:p>
        </w:tc>
      </w:tr>
    </w:tbl>
    <w:p>
      <w:pPr>
        <w:pStyle w:val="1"/>
        <w:jc w:val="both"/>
        <w:rPr>
          <w:rFonts w:ascii="Times New Roman" w:hAnsi="Times New Roman" w:cs="Times New Roman"/>
          <w:b/>
          <w:b/>
          <w:color w:val="00000A"/>
          <w:sz w:val="24"/>
          <w:szCs w:val="24"/>
        </w:rPr>
      </w:pPr>
      <w:bookmarkStart w:id="58" w:name="_Toc485621463"/>
      <w:r>
        <w:rPr>
          <w:rFonts w:cs="Times New Roman" w:ascii="Times New Roman" w:hAnsi="Times New Roman"/>
          <w:b/>
          <w:color w:val="00000A"/>
          <w:sz w:val="24"/>
          <w:szCs w:val="24"/>
        </w:rPr>
        <w:t>РАЗДЕЛ III. ГРАДОСТРОИТЕЛЬНЫЕ РЕГЛАМЕНТЫ</w:t>
      </w:r>
      <w:bookmarkEnd w:id="58"/>
      <w:r>
        <w:rPr>
          <w:rFonts w:cs="Times New Roman" w:ascii="Times New Roman" w:hAnsi="Times New Roman"/>
          <w:b/>
          <w:color w:val="00000A"/>
          <w:sz w:val="24"/>
          <w:szCs w:val="24"/>
        </w:rPr>
        <w:t xml:space="preserve"> </w:t>
      </w:r>
    </w:p>
    <w:p>
      <w:pPr>
        <w:pStyle w:val="1"/>
        <w:jc w:val="both"/>
        <w:rPr>
          <w:rFonts w:ascii="Times New Roman" w:hAnsi="Times New Roman" w:cs="Times New Roman"/>
          <w:b/>
          <w:b/>
          <w:color w:val="00000A"/>
          <w:sz w:val="24"/>
          <w:szCs w:val="24"/>
        </w:rPr>
      </w:pPr>
      <w:bookmarkStart w:id="59" w:name="_Toc485621464"/>
      <w:r>
        <w:rPr>
          <w:rFonts w:cs="Times New Roman" w:ascii="Times New Roman" w:hAnsi="Times New Roman"/>
          <w:b/>
          <w:color w:val="00000A"/>
          <w:sz w:val="24"/>
          <w:szCs w:val="24"/>
        </w:rPr>
        <w:t>ГЛАВА 9. ГРАДОСТРОИТЕЛЬНОЕ ЗОНИРОВАНИЕ С УЧЁТОМ ОСОБЫХ УСЛОВИЙ ИСПОЛЬЗОВАНИЯ ТЕРРИТОРИЙ (ОГРАНИЧЕНИЙ ИСПОЛЬЗОВАНИЯ ЗЕМЕЛЬНЫХ УЧАСТКОВ И ОБЪЕКТОВ КАПИТАЛЬНОГО СТРОИТЕЛЬСТВА, УСТАНАВЛИВАЕМЫХ В СООТВЕТСТВИИ С ЗАКОНОДАТЕЛЬСТВОМ РОССИЙСКОЙ ФЕДЕРАЦИИ)</w:t>
      </w:r>
      <w:bookmarkEnd w:id="59"/>
      <w:r>
        <w:rPr>
          <w:rFonts w:cs="Times New Roman" w:ascii="Times New Roman" w:hAnsi="Times New Roman"/>
          <w:b/>
          <w:color w:val="00000A"/>
          <w:sz w:val="24"/>
          <w:szCs w:val="24"/>
        </w:rPr>
        <w:t xml:space="preserve"> </w:t>
      </w:r>
    </w:p>
    <w:p>
      <w:pPr>
        <w:pStyle w:val="2"/>
        <w:jc w:val="both"/>
        <w:rPr>
          <w:rFonts w:ascii="Times New Roman" w:hAnsi="Times New Roman" w:cs="Times New Roman"/>
          <w:b/>
          <w:b/>
          <w:i/>
          <w:i/>
          <w:color w:val="00000A"/>
          <w:sz w:val="24"/>
          <w:szCs w:val="24"/>
        </w:rPr>
      </w:pPr>
      <w:bookmarkStart w:id="60" w:name="_Toc485621465"/>
      <w:r>
        <w:rPr>
          <w:rFonts w:cs="Times New Roman" w:ascii="Times New Roman" w:hAnsi="Times New Roman"/>
          <w:b/>
          <w:i/>
          <w:color w:val="00000A"/>
          <w:sz w:val="24"/>
          <w:szCs w:val="24"/>
        </w:rPr>
        <w:t>Статья 45. Требования градостроительных регламентов</w:t>
      </w:r>
      <w:bookmarkEnd w:id="60"/>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w:t>
      </w:r>
    </w:p>
    <w:p>
      <w:pPr>
        <w:pStyle w:val="Default"/>
        <w:ind w:firstLine="709"/>
        <w:jc w:val="both"/>
        <w:rPr>
          <w:color w:val="00000A"/>
        </w:rPr>
      </w:pPr>
      <w:r>
        <w:rPr>
          <w:color w:val="00000A"/>
        </w:rPr>
        <w:t xml:space="preserve">2. При использовании и застройке земельных участков соблюдение требований градостроительных регламентов является обязательным наряду с требованиями технических регламентов, санитарных норм, региональных (областных) и (или) местных нормативов градостроительного проектирования, сервитутов, предельных параметров,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территорий и другими требованиями, установленными в соответствии с законодательством Российской Федерации. </w:t>
      </w:r>
    </w:p>
    <w:p>
      <w:pPr>
        <w:pStyle w:val="Default"/>
        <w:ind w:firstLine="709"/>
        <w:jc w:val="both"/>
        <w:rPr>
          <w:color w:val="00000A"/>
        </w:rPr>
      </w:pPr>
      <w:r>
        <w:rPr>
          <w:color w:val="00000A"/>
        </w:rPr>
        <w:t xml:space="preserve">3. Применительно к каждой территориальной зоне настоящими Правилами к земельным участкам и объектам капитального строительства установлены градостроительные регламенты по видам разрешённого использования земельных участков и объектов капитального строительства; предельным (минимальным и (или) максимальным) размерам земельных участков и предельным параметрам разрешённого строительства, реконструкции объектов капитального строительства, а также ограничениям использования земельных участков и объектов капитального строительства, установленным в соответствии с законодательством Российской Федерации. </w:t>
      </w:r>
    </w:p>
    <w:p>
      <w:pPr>
        <w:pStyle w:val="Default"/>
        <w:ind w:firstLine="709"/>
        <w:jc w:val="both"/>
        <w:rPr>
          <w:color w:val="00000A"/>
        </w:rPr>
      </w:pPr>
      <w:r>
        <w:rPr>
          <w:color w:val="00000A"/>
        </w:rPr>
        <w:t xml:space="preserve">4. Применительно ко всем территориальным зонам установлены параметры минимальных отступов зданий, строений, сооружений от границ смежных земельных участков, от красных линий, от объектов различного функционального назначения, относящиеся ко всем территориальным зонам; параметры допустимой площади озеленённой территории земельных участков, относящиеся ко всем территориальным зонам. </w:t>
      </w:r>
    </w:p>
    <w:p>
      <w:pPr>
        <w:pStyle w:val="Default"/>
        <w:ind w:firstLine="709"/>
        <w:jc w:val="both"/>
        <w:rPr>
          <w:color w:val="00000A"/>
        </w:rPr>
      </w:pPr>
      <w:r>
        <w:rPr>
          <w:color w:val="00000A"/>
        </w:rPr>
        <w:t xml:space="preserve">5. Для каждого земельного участка и объекта капитального строительства, считается разрешённым такое использование, которое соответствует градостроительному регламенту, предельным параметрам разрешённого строительства, реконструкции объектов капитального строительства и с обязательным учётом ограничений на использование объектов недвижимости. </w:t>
      </w:r>
    </w:p>
    <w:p>
      <w:pPr>
        <w:pStyle w:val="Default"/>
        <w:ind w:firstLine="709"/>
        <w:jc w:val="both"/>
        <w:rPr>
          <w:color w:val="00000A"/>
        </w:rPr>
      </w:pPr>
      <w:r>
        <w:rPr>
          <w:color w:val="00000A"/>
        </w:rPr>
        <w:t xml:space="preserve">6.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карте зон с особыми условиями использования территорий. </w:t>
      </w:r>
    </w:p>
    <w:p>
      <w:pPr>
        <w:pStyle w:val="Default"/>
        <w:ind w:firstLine="709"/>
        <w:jc w:val="both"/>
        <w:rPr>
          <w:color w:val="00000A"/>
        </w:rPr>
      </w:pPr>
      <w:r>
        <w:rPr>
          <w:color w:val="00000A"/>
        </w:rPr>
        <w:t xml:space="preserve">7. Действие градостроительного регламента не распространяется на земельные участки, определяемые в соответствии с градостроительным законодательством Российской Федерации </w:t>
      </w:r>
      <w:r>
        <w:rPr>
          <w:b/>
          <w:bCs/>
          <w:color w:val="00000A"/>
        </w:rPr>
        <w:t>ст.60 настоящих Правил</w:t>
      </w:r>
      <w:r>
        <w:rPr>
          <w:color w:val="00000A"/>
        </w:rPr>
        <w:t xml:space="preserve">. </w:t>
      </w:r>
    </w:p>
    <w:p>
      <w:pPr>
        <w:pStyle w:val="Default"/>
        <w:ind w:firstLine="709"/>
        <w:jc w:val="both"/>
        <w:rPr>
          <w:color w:val="00000A"/>
        </w:rPr>
      </w:pPr>
      <w:r>
        <w:rPr>
          <w:color w:val="00000A"/>
        </w:rPr>
        <w:t xml:space="preserve">8. Настоящими Правилами градостроительные регламенты не установлены для земель, определяемые в соответствии с градостроительным законодательством Российской Федерации </w:t>
      </w:r>
      <w:r>
        <w:rPr>
          <w:b/>
          <w:bCs/>
          <w:color w:val="00000A"/>
        </w:rPr>
        <w:t>ст.61 настоящих Правил</w:t>
      </w:r>
      <w:r>
        <w:rPr>
          <w:color w:val="00000A"/>
        </w:rPr>
        <w:t xml:space="preserve">. </w:t>
      </w:r>
    </w:p>
    <w:p>
      <w:pPr>
        <w:pStyle w:val="Default"/>
        <w:ind w:firstLine="709"/>
        <w:jc w:val="both"/>
        <w:rPr>
          <w:color w:val="00000A"/>
        </w:rPr>
      </w:pPr>
      <w:r>
        <w:rPr>
          <w:color w:val="00000A"/>
        </w:rPr>
        <w:t xml:space="preserve">9. Требования к использованию земельных участков и объектов капитального строительства, на которые распространяется действие градостроительного регламента, содержащиеся в градостроительных регламентах, указываются в градостроительных планах земельных участков. </w:t>
      </w:r>
    </w:p>
    <w:p>
      <w:pPr>
        <w:pStyle w:val="Default"/>
        <w:ind w:firstLine="709"/>
        <w:jc w:val="both"/>
        <w:rPr>
          <w:color w:val="00000A"/>
        </w:rPr>
      </w:pPr>
      <w:r>
        <w:rPr>
          <w:color w:val="00000A"/>
        </w:rPr>
        <w:t xml:space="preserve">10. Объекты капитального строительства, созданные с нарушением требований градостроительных регламентов, являются самовольными постройками в соответствии со ст.222 Гражданского кодекса Российской Федерации. </w:t>
      </w:r>
    </w:p>
    <w:p>
      <w:pPr>
        <w:pStyle w:val="2"/>
        <w:jc w:val="both"/>
        <w:rPr>
          <w:rFonts w:ascii="Times New Roman" w:hAnsi="Times New Roman" w:cs="Times New Roman"/>
          <w:b/>
          <w:b/>
          <w:i/>
          <w:i/>
          <w:color w:val="00000A"/>
          <w:sz w:val="24"/>
          <w:szCs w:val="24"/>
        </w:rPr>
      </w:pPr>
      <w:bookmarkStart w:id="61" w:name="_Toc485621466"/>
      <w:r>
        <w:rPr>
          <w:rFonts w:cs="Times New Roman" w:ascii="Times New Roman" w:hAnsi="Times New Roman"/>
          <w:b/>
          <w:i/>
          <w:color w:val="00000A"/>
          <w:sz w:val="24"/>
          <w:szCs w:val="24"/>
        </w:rPr>
        <w:t>Статья 46.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bookmarkEnd w:id="61"/>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 включают в себя: </w:t>
      </w:r>
    </w:p>
    <w:p>
      <w:pPr>
        <w:pStyle w:val="Default"/>
        <w:ind w:firstLine="709"/>
        <w:jc w:val="both"/>
        <w:rPr>
          <w:color w:val="00000A"/>
        </w:rPr>
      </w:pPr>
      <w:r>
        <w:rPr>
          <w:color w:val="00000A"/>
        </w:rPr>
        <w:t xml:space="preserve">1) предельные (минимальные и (или) максимальные) размеры земельных участков, в том числе их площадь; </w:t>
      </w:r>
    </w:p>
    <w:p>
      <w:pPr>
        <w:pStyle w:val="Default"/>
        <w:ind w:firstLine="709"/>
        <w:jc w:val="both"/>
        <w:rPr>
          <w:color w:val="00000A"/>
        </w:rPr>
      </w:pPr>
      <w:r>
        <w:rPr>
          <w:color w:val="00000A"/>
        </w:rPr>
        <w:t xml:space="preserve">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pPr>
        <w:pStyle w:val="Default"/>
        <w:ind w:firstLine="709"/>
        <w:jc w:val="both"/>
        <w:rPr>
          <w:color w:val="00000A"/>
        </w:rPr>
      </w:pPr>
      <w:r>
        <w:rPr>
          <w:color w:val="00000A"/>
        </w:rPr>
        <w:t xml:space="preserve">3) предельное количество этажей или предельную высоту зданий, строений, сооружений; </w:t>
      </w:r>
    </w:p>
    <w:p>
      <w:pPr>
        <w:pStyle w:val="Default"/>
        <w:ind w:firstLine="709"/>
        <w:jc w:val="both"/>
        <w:rPr>
          <w:color w:val="00000A"/>
        </w:rPr>
      </w:pPr>
      <w:r>
        <w:rPr>
          <w:color w:val="00000A"/>
        </w:rPr>
        <w:t xml:space="preserve">4) максимальный процент застройки в границах земельного участка; </w:t>
      </w:r>
    </w:p>
    <w:p>
      <w:pPr>
        <w:pStyle w:val="Default"/>
        <w:ind w:firstLine="709"/>
        <w:jc w:val="both"/>
        <w:rPr>
          <w:color w:val="00000A"/>
        </w:rPr>
      </w:pPr>
      <w:r>
        <w:rPr>
          <w:color w:val="00000A"/>
        </w:rPr>
        <w:t xml:space="preserve">5) иные показатели. </w:t>
      </w:r>
    </w:p>
    <w:p>
      <w:pPr>
        <w:pStyle w:val="Default"/>
        <w:ind w:firstLine="709"/>
        <w:jc w:val="both"/>
        <w:rPr>
          <w:color w:val="00000A"/>
        </w:rPr>
      </w:pPr>
      <w:r>
        <w:rPr>
          <w:color w:val="00000A"/>
        </w:rPr>
        <w:t xml:space="preserve">2. Предельные (максимальные и (или) минимальные) размеры земельных участков для индивидуального жилищного строительства, для ведения садоводства, огородничества, дачного строительства устанавливаются в соответствии с законодательством. </w:t>
      </w:r>
    </w:p>
    <w:p>
      <w:pPr>
        <w:pStyle w:val="Default"/>
        <w:ind w:firstLine="709"/>
        <w:jc w:val="both"/>
        <w:rPr>
          <w:color w:val="00000A"/>
        </w:rPr>
      </w:pPr>
      <w:r>
        <w:rPr>
          <w:color w:val="00000A"/>
        </w:rPr>
        <w:t xml:space="preserve">Предельные (максимальные и (или) минимальные) размеры земельных участков, находящихся в государственной или муниципальной собственности, и предоставляемых гражданам в собственность определяются Законом Карачаево-Черкесской Республики от 09.12.2003 №61-РЗ «Особенности регулирования земельных отношений в Карачаево-Черкесской Республике». </w:t>
      </w:r>
    </w:p>
    <w:p>
      <w:pPr>
        <w:pStyle w:val="Default"/>
        <w:ind w:firstLine="709"/>
        <w:jc w:val="both"/>
        <w:rPr>
          <w:color w:val="00000A"/>
        </w:rPr>
      </w:pPr>
      <w:r>
        <w:rPr>
          <w:color w:val="00000A"/>
        </w:rPr>
        <w:t xml:space="preserve">3. Для целей, не указанных в пункте 2 настоящей статьи, предельные размеры земельных участков устанавливаются региональными (областными) и (или) местными нормативами градостроительного проектирования, настоящими Правилами, в соответствии с техническими регламентами, национальными стандартами, а также с утверждёнными в установленном порядке нормами отвода земель для некоторых видов деятельности. </w:t>
      </w:r>
    </w:p>
    <w:p>
      <w:pPr>
        <w:pStyle w:val="Default"/>
        <w:ind w:firstLine="709"/>
        <w:jc w:val="both"/>
        <w:rPr>
          <w:color w:val="00000A"/>
        </w:rPr>
      </w:pPr>
      <w:r>
        <w:rPr>
          <w:color w:val="00000A"/>
        </w:rPr>
        <w:t xml:space="preserve">4. В соответствии с ч.14 ст.28 настоящих Правил предельные параметры разрешённого строительства, реконструкции объектов капитального строительства могут быть уточнены. </w:t>
      </w:r>
    </w:p>
    <w:p>
      <w:pPr>
        <w:pStyle w:val="2"/>
        <w:jc w:val="both"/>
        <w:rPr>
          <w:rFonts w:ascii="Times New Roman" w:hAnsi="Times New Roman" w:cs="Times New Roman"/>
          <w:b/>
          <w:b/>
          <w:i/>
          <w:i/>
          <w:color w:val="00000A"/>
          <w:sz w:val="24"/>
          <w:szCs w:val="24"/>
        </w:rPr>
      </w:pPr>
      <w:bookmarkStart w:id="62" w:name="_Toc485621467"/>
      <w:r>
        <w:rPr>
          <w:rFonts w:cs="Times New Roman" w:ascii="Times New Roman" w:hAnsi="Times New Roman"/>
          <w:b/>
          <w:i/>
          <w:color w:val="00000A"/>
          <w:sz w:val="24"/>
          <w:szCs w:val="24"/>
        </w:rPr>
        <w:t>Статья 47. Зоны с особыми условиями использования территорий</w:t>
      </w:r>
      <w:bookmarkEnd w:id="62"/>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Зоны с особыми условиями использования территорий перекрывают действие градостроительных регламентов и накладывают дополнительные ограничения на использование территорий. </w:t>
      </w:r>
    </w:p>
    <w:p>
      <w:pPr>
        <w:pStyle w:val="Default"/>
        <w:ind w:firstLine="709"/>
        <w:jc w:val="both"/>
        <w:rPr>
          <w:color w:val="00000A"/>
        </w:rPr>
      </w:pPr>
      <w:r>
        <w:rPr>
          <w:color w:val="00000A"/>
        </w:rPr>
        <w:t xml:space="preserve">2. Границы зон с особыми условиями использования территорий устанавливаются в соответствии с законодательством Российской Федерации. </w:t>
      </w:r>
    </w:p>
    <w:p>
      <w:pPr>
        <w:pStyle w:val="Default"/>
        <w:ind w:firstLine="709"/>
        <w:jc w:val="both"/>
        <w:rPr>
          <w:color w:val="00000A"/>
        </w:rPr>
      </w:pPr>
      <w:r>
        <w:rPr>
          <w:color w:val="00000A"/>
        </w:rPr>
        <w:t xml:space="preserve">В настоящих Правилах зоны с особыми условиями использования территорий отображаются в соответствии с утверждённым генеральным планом поселения. </w:t>
      </w:r>
    </w:p>
    <w:p>
      <w:pPr>
        <w:pStyle w:val="Default"/>
        <w:ind w:firstLine="709"/>
        <w:jc w:val="both"/>
        <w:rPr>
          <w:color w:val="00000A"/>
        </w:rPr>
      </w:pPr>
      <w:r>
        <w:rPr>
          <w:color w:val="00000A"/>
        </w:rPr>
        <w:t xml:space="preserve">3. Установление зон не влечёт за собой изъятие земельных участков у правообладателей земельных участков или запрета на совершение сделок с земельными участками, за исключением случаев, предусмотренных законодательством Российской Федерации. </w:t>
      </w:r>
    </w:p>
    <w:p>
      <w:pPr>
        <w:pStyle w:val="2"/>
        <w:jc w:val="both"/>
        <w:rPr>
          <w:rFonts w:ascii="Times New Roman" w:hAnsi="Times New Roman" w:cs="Times New Roman"/>
          <w:b/>
          <w:b/>
          <w:i/>
          <w:i/>
          <w:color w:val="00000A"/>
          <w:sz w:val="24"/>
          <w:szCs w:val="24"/>
        </w:rPr>
      </w:pPr>
      <w:bookmarkStart w:id="63" w:name="_Toc485621468"/>
      <w:r>
        <w:rPr>
          <w:rFonts w:cs="Times New Roman" w:ascii="Times New Roman" w:hAnsi="Times New Roman"/>
          <w:b/>
          <w:i/>
          <w:color w:val="00000A"/>
          <w:sz w:val="24"/>
          <w:szCs w:val="24"/>
        </w:rPr>
        <w:t>Статья 47.1. Ограничение использования территорий в границах зон затопления и подтопления, водоохранных зон и прибрежных защитных полос</w:t>
      </w:r>
      <w:bookmarkEnd w:id="63"/>
      <w:r>
        <w:rPr>
          <w:rFonts w:cs="Times New Roman" w:ascii="Times New Roman" w:hAnsi="Times New Roman"/>
          <w:b/>
          <w:i/>
          <w:color w:val="00000A"/>
          <w:sz w:val="24"/>
          <w:szCs w:val="24"/>
        </w:rPr>
        <w:t xml:space="preserve"> водных объектов</w:t>
      </w:r>
    </w:p>
    <w:p>
      <w:pPr>
        <w:pStyle w:val="Default"/>
        <w:ind w:firstLine="709"/>
        <w:jc w:val="both"/>
        <w:rPr>
          <w:color w:val="00000A"/>
        </w:rPr>
      </w:pPr>
      <w:r>
        <w:rPr>
          <w:color w:val="00000A"/>
        </w:rPr>
        <w:t xml:space="preserve">1. На территории зон затопления и подтопления в соответствии с Водным кодексом Российской Федерации устанавливается специальный режим осуществления хозяйственной и иной деятельности в целях предотвращения негативного воздействия вод и ликвидации его последствий. </w:t>
      </w:r>
    </w:p>
    <w:p>
      <w:pPr>
        <w:pStyle w:val="Default"/>
        <w:ind w:firstLine="709"/>
        <w:jc w:val="both"/>
        <w:rPr>
          <w:color w:val="00000A"/>
        </w:rPr>
      </w:pPr>
      <w:r>
        <w:rPr>
          <w:color w:val="00000A"/>
        </w:rPr>
        <w:t xml:space="preserve">2. В границах зон затопления, подтопления запрещается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w:t>
      </w:r>
    </w:p>
    <w:p>
      <w:pPr>
        <w:pStyle w:val="Default"/>
        <w:ind w:firstLine="709"/>
        <w:jc w:val="both"/>
        <w:rPr>
          <w:color w:val="00000A"/>
        </w:rPr>
      </w:pPr>
      <w:r>
        <w:rPr>
          <w:color w:val="00000A"/>
        </w:rPr>
        <w:t>3. В границах зон затопления, подтопления запрещаются:</w:t>
      </w:r>
    </w:p>
    <w:p>
      <w:pPr>
        <w:pStyle w:val="Default"/>
        <w:ind w:firstLine="709"/>
        <w:jc w:val="both"/>
        <w:rPr>
          <w:color w:val="00000A"/>
        </w:rPr>
      </w:pPr>
      <w:r>
        <w:rPr>
          <w:color w:val="00000A"/>
        </w:rPr>
        <w:t xml:space="preserve"> </w:t>
      </w:r>
      <w:r>
        <w:rPr>
          <w:color w:val="00000A"/>
        </w:rPr>
        <w:t xml:space="preserve">1) использование сточных вод в целях регулирования плодородия почв; </w:t>
      </w:r>
    </w:p>
    <w:p>
      <w:pPr>
        <w:pStyle w:val="Default"/>
        <w:ind w:firstLine="709"/>
        <w:jc w:val="both"/>
        <w:rPr>
          <w:color w:val="00000A"/>
        </w:rPr>
      </w:pPr>
      <w:r>
        <w:rPr>
          <w:color w:val="00000A"/>
        </w:rPr>
        <w:t xml:space="preserve">2) размещение кладбищ, скотомогильников, мест захоронения отходов производств и потребления, химических, взрывчатых, токсичных, отравляющих и ядовитых веществ, пунктов хранения и захоронения радиоактивных отходов; </w:t>
      </w:r>
    </w:p>
    <w:p>
      <w:pPr>
        <w:pStyle w:val="Default"/>
        <w:ind w:firstLine="709"/>
        <w:jc w:val="both"/>
        <w:rPr>
          <w:color w:val="00000A"/>
        </w:rPr>
      </w:pPr>
      <w:r>
        <w:rPr>
          <w:color w:val="00000A"/>
        </w:rPr>
        <w:t xml:space="preserve">3) осуществление авиационных мер по борьбе с вредными организмами; </w:t>
      </w:r>
    </w:p>
    <w:p>
      <w:pPr>
        <w:pStyle w:val="Default"/>
        <w:ind w:firstLine="709"/>
        <w:jc w:val="both"/>
        <w:rPr>
          <w:color w:val="00000A"/>
        </w:rPr>
      </w:pPr>
      <w:r>
        <w:rPr>
          <w:color w:val="00000A"/>
        </w:rPr>
        <w:t>2. В соответствии с пунктом 3 Правил определения границ зон затопления, подтопления утвержденными Постановлением Правительства Российской Федерации от 18 апреля 2014 года №360 «Об определении границ зон затопления, подтопления» 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Зоны затопления, подтопления после их утверждения в установленном действующим законодательством порядке, включаются в Правила в соответствии с главой 6 Правил.</w:t>
      </w:r>
    </w:p>
    <w:p>
      <w:pPr>
        <w:pStyle w:val="Default"/>
        <w:ind w:firstLine="709"/>
        <w:jc w:val="both"/>
        <w:rPr>
          <w:color w:val="00000A"/>
        </w:rPr>
      </w:pPr>
      <w:r>
        <w:rPr>
          <w:color w:val="00000A"/>
        </w:rPr>
        <w:t>В границах водоохранных зон запрещаются:</w:t>
      </w:r>
    </w:p>
    <w:p>
      <w:pPr>
        <w:pStyle w:val="Default"/>
        <w:ind w:firstLine="709"/>
        <w:jc w:val="both"/>
        <w:rPr>
          <w:color w:val="00000A"/>
        </w:rPr>
      </w:pPr>
      <w:r>
        <w:rPr>
          <w:color w:val="00000A"/>
        </w:rPr>
        <w:t>1) использование сточных вод в целях регулирования плодородия почв;</w:t>
      </w:r>
    </w:p>
    <w:p>
      <w:pPr>
        <w:pStyle w:val="Default"/>
        <w:ind w:firstLine="709"/>
        <w:jc w:val="both"/>
        <w:rPr>
          <w:color w:val="00000A"/>
        </w:rPr>
      </w:pPr>
      <w:r>
        <w:rPr>
          <w:color w:val="00000A"/>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pPr>
        <w:pStyle w:val="Default"/>
        <w:ind w:firstLine="709"/>
        <w:jc w:val="both"/>
        <w:rPr>
          <w:color w:val="00000A"/>
        </w:rPr>
      </w:pPr>
      <w:r>
        <w:rPr>
          <w:color w:val="00000A"/>
        </w:rPr>
        <w:t>3) осуществление авиационных мер по борьбе с вредными организмами;</w:t>
      </w:r>
    </w:p>
    <w:p>
      <w:pPr>
        <w:pStyle w:val="Default"/>
        <w:ind w:firstLine="709"/>
        <w:jc w:val="both"/>
        <w:rPr>
          <w:color w:val="00000A"/>
        </w:rPr>
      </w:pPr>
      <w:r>
        <w:rPr>
          <w:color w:val="00000A"/>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pPr>
        <w:pStyle w:val="Default"/>
        <w:ind w:firstLine="709"/>
        <w:jc w:val="both"/>
        <w:rPr>
          <w:color w:val="00000A"/>
        </w:rPr>
      </w:pPr>
      <w:r>
        <w:rPr>
          <w:color w:val="00000A"/>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pPr>
        <w:pStyle w:val="Default"/>
        <w:ind w:firstLine="709"/>
        <w:jc w:val="both"/>
        <w:rPr>
          <w:color w:val="00000A"/>
        </w:rPr>
      </w:pPr>
      <w:r>
        <w:rPr>
          <w:color w:val="00000A"/>
        </w:rPr>
        <w:t>6) размещение специализированных хранилищ пестицидов и агрохимикатов, применение пестицидов и агрохимикатов;</w:t>
      </w:r>
    </w:p>
    <w:p>
      <w:pPr>
        <w:pStyle w:val="Default"/>
        <w:ind w:firstLine="709"/>
        <w:jc w:val="both"/>
        <w:rPr>
          <w:color w:val="00000A"/>
        </w:rPr>
      </w:pPr>
      <w:r>
        <w:rPr>
          <w:color w:val="00000A"/>
        </w:rPr>
        <w:t>7) сброс сточных, в том числе дренажных, вод;</w:t>
      </w:r>
    </w:p>
    <w:p>
      <w:pPr>
        <w:pStyle w:val="Default"/>
        <w:ind w:firstLine="709"/>
        <w:jc w:val="both"/>
        <w:rPr>
          <w:color w:val="00000A"/>
        </w:rPr>
      </w:pPr>
      <w:r>
        <w:rPr>
          <w:color w:val="00000A"/>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19_1 Закона Российской Федерации от 21 февраля 1992 года N 2395-I "О недрах").</w:t>
      </w:r>
    </w:p>
    <w:p>
      <w:pPr>
        <w:pStyle w:val="Default"/>
        <w:ind w:firstLine="709"/>
        <w:jc w:val="both"/>
        <w:rPr>
          <w:color w:val="00000A"/>
        </w:rPr>
      </w:pPr>
      <w:r>
        <w:rPr>
          <w:color w:val="00000A"/>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Под указанными сооружениями, обеспечивающими охрану водных объектов от загрязнения, засорения, заиления и истощения вод, понимаются:</w:t>
      </w:r>
    </w:p>
    <w:p>
      <w:pPr>
        <w:pStyle w:val="Default"/>
        <w:ind w:firstLine="709"/>
        <w:jc w:val="both"/>
        <w:rPr>
          <w:color w:val="00000A"/>
        </w:rPr>
      </w:pPr>
      <w:r>
        <w:rPr>
          <w:color w:val="00000A"/>
        </w:rPr>
        <w:t>1) централизованные системы водоотведения (канализации), централизованные ливневые системы водоотведения;</w:t>
      </w:r>
    </w:p>
    <w:p>
      <w:pPr>
        <w:pStyle w:val="Default"/>
        <w:ind w:firstLine="709"/>
        <w:jc w:val="both"/>
        <w:rPr>
          <w:color w:val="00000A"/>
        </w:rPr>
      </w:pPr>
      <w:r>
        <w:rPr>
          <w:color w:val="00000A"/>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pPr>
        <w:pStyle w:val="Default"/>
        <w:ind w:firstLine="709"/>
        <w:jc w:val="both"/>
        <w:rPr>
          <w:color w:val="00000A"/>
        </w:rPr>
      </w:pPr>
      <w:r>
        <w:rPr>
          <w:color w:val="00000A"/>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pPr>
        <w:pStyle w:val="Default"/>
        <w:ind w:firstLine="709"/>
        <w:jc w:val="both"/>
        <w:rPr>
          <w:color w:val="00000A"/>
        </w:rPr>
      </w:pPr>
      <w:r>
        <w:rPr>
          <w:color w:val="00000A"/>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pPr>
        <w:pStyle w:val="Default"/>
        <w:ind w:firstLine="709"/>
        <w:jc w:val="both"/>
        <w:rPr>
          <w:color w:val="00000A"/>
        </w:rPr>
      </w:pPr>
      <w:r>
        <w:rPr>
          <w:color w:val="00000A"/>
        </w:rPr>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коммунальным системам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pPr>
        <w:pStyle w:val="Default"/>
        <w:ind w:firstLine="709"/>
        <w:jc w:val="both"/>
        <w:rPr>
          <w:color w:val="00000A"/>
        </w:rPr>
      </w:pPr>
      <w:r>
        <w:rPr>
          <w:color w:val="00000A"/>
        </w:rPr>
        <w:t>В границах прибрежных защитных полос применяются ограничения, установленные для водоохранных зон. Наряду с ними запрещается:</w:t>
      </w:r>
    </w:p>
    <w:p>
      <w:pPr>
        <w:pStyle w:val="Default"/>
        <w:ind w:firstLine="709"/>
        <w:jc w:val="both"/>
        <w:rPr>
          <w:color w:val="00000A"/>
        </w:rPr>
      </w:pPr>
      <w:r>
        <w:rPr>
          <w:color w:val="00000A"/>
        </w:rPr>
        <w:t>Применяются ограничения, установленные для водоохранных зон. Наряду с ними запрещаются:</w:t>
      </w:r>
    </w:p>
    <w:p>
      <w:pPr>
        <w:pStyle w:val="Default"/>
        <w:ind w:firstLine="709"/>
        <w:jc w:val="both"/>
        <w:rPr>
          <w:color w:val="00000A"/>
        </w:rPr>
      </w:pPr>
      <w:r>
        <w:rPr>
          <w:color w:val="00000A"/>
        </w:rPr>
        <w:t>1) распашка земель;</w:t>
      </w:r>
    </w:p>
    <w:p>
      <w:pPr>
        <w:pStyle w:val="Default"/>
        <w:ind w:firstLine="709"/>
        <w:jc w:val="both"/>
        <w:rPr>
          <w:color w:val="00000A"/>
        </w:rPr>
      </w:pPr>
      <w:r>
        <w:rPr>
          <w:color w:val="00000A"/>
        </w:rPr>
        <w:t>2) размещение отвалов размываемых грунтов;</w:t>
      </w:r>
    </w:p>
    <w:p>
      <w:pPr>
        <w:pStyle w:val="Default"/>
        <w:ind w:firstLine="709"/>
        <w:jc w:val="both"/>
        <w:rPr>
          <w:color w:val="00000A"/>
        </w:rPr>
      </w:pPr>
      <w:r>
        <w:rPr>
          <w:color w:val="00000A"/>
        </w:rPr>
        <w:t>3) выпас сельскохозяйственных животных и организация для них летних лагерей, ванн.</w:t>
      </w:r>
    </w:p>
    <w:p>
      <w:pPr>
        <w:pStyle w:val="2"/>
        <w:jc w:val="both"/>
        <w:rPr>
          <w:rFonts w:ascii="Times New Roman" w:hAnsi="Times New Roman" w:cs="Times New Roman"/>
          <w:b/>
          <w:b/>
          <w:i/>
          <w:i/>
          <w:color w:val="00000A"/>
          <w:sz w:val="24"/>
          <w:szCs w:val="24"/>
        </w:rPr>
      </w:pPr>
      <w:bookmarkStart w:id="64" w:name="_Toc485621469"/>
      <w:r>
        <w:rPr>
          <w:rFonts w:cs="Times New Roman" w:ascii="Times New Roman" w:hAnsi="Times New Roman"/>
          <w:b/>
          <w:i/>
          <w:color w:val="00000A"/>
          <w:sz w:val="24"/>
          <w:szCs w:val="24"/>
        </w:rPr>
        <w:t>Статья 47.2. Охранные зоны</w:t>
      </w:r>
      <w:bookmarkEnd w:id="64"/>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Земельные участки над проводами электрических линий или над кабельными линиями остаются в собственности и пользовании тех субъектов, на территории которых прокладываются трассы, и используются ими свободно с соблюдением мер, обеспечивающих сохранность и работу указанных объектов в соответствии с правилами охраны линий связи и электрических сетей. </w:t>
      </w:r>
    </w:p>
    <w:p>
      <w:pPr>
        <w:pStyle w:val="Default"/>
        <w:ind w:firstLine="709"/>
        <w:jc w:val="both"/>
        <w:rPr>
          <w:color w:val="00000A"/>
        </w:rPr>
      </w:pPr>
      <w:r>
        <w:rPr>
          <w:color w:val="00000A"/>
        </w:rPr>
        <w:t xml:space="preserve">2. В соответствии с Правилами охраны линий и сооружений связи Российской Федерации, утверждёнными постановлением Правительства Российской Федерации от 09.06.1995 №578, на трассах кабельных и воздушных линий связи и линий радиофикации устанавливаются охранные зоны: </w:t>
      </w:r>
    </w:p>
    <w:p>
      <w:pPr>
        <w:pStyle w:val="Default"/>
        <w:ind w:firstLine="709"/>
        <w:jc w:val="both"/>
        <w:rPr>
          <w:color w:val="00000A"/>
        </w:rPr>
      </w:pPr>
      <w:r>
        <w:rPr>
          <w:color w:val="00000A"/>
        </w:rPr>
        <w:t xml:space="preserve">1) для подземных кабельных и для воздушных линий связи и линий радиофикации, расположенных за границами населённых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 с каждой стороны; </w:t>
      </w:r>
    </w:p>
    <w:p>
      <w:pPr>
        <w:pStyle w:val="Default"/>
        <w:ind w:firstLine="709"/>
        <w:jc w:val="both"/>
        <w:rPr>
          <w:color w:val="00000A"/>
        </w:rPr>
      </w:pPr>
      <w:r>
        <w:rPr>
          <w:color w:val="00000A"/>
        </w:rPr>
        <w:t xml:space="preserve">2)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 и от контуров заземления не менее чем на 2 м. </w:t>
      </w:r>
    </w:p>
    <w:p>
      <w:pPr>
        <w:pStyle w:val="Default"/>
        <w:ind w:firstLine="709"/>
        <w:jc w:val="both"/>
        <w:rPr>
          <w:color w:val="00000A"/>
        </w:rPr>
      </w:pPr>
      <w:r>
        <w:rPr>
          <w:color w:val="00000A"/>
        </w:rPr>
        <w:t xml:space="preserve">3. Минимально допустимые расстояния (разрывы) между сооружениями связи и радиофикации и другими сооружениями определяются правилами возведения соответствующих сооружений и не должны допускать механического и электрического воздействия на сооружения связи. </w:t>
      </w:r>
    </w:p>
    <w:p>
      <w:pPr>
        <w:pStyle w:val="Default"/>
        <w:ind w:firstLine="709"/>
        <w:jc w:val="both"/>
        <w:rPr>
          <w:color w:val="00000A"/>
        </w:rPr>
      </w:pPr>
      <w:r>
        <w:rPr>
          <w:color w:val="00000A"/>
        </w:rPr>
        <w:t xml:space="preserve">4. При предоставлении земельных участков, расположенных в охранных зонах сооружений связи и радиофикации, под сельскохозяйственные угодья, огородные и садовые участки и в других сельскохозяйственных целях органами местного самоуправления при наличии согласия предприятий, в ведении которых находятся сооружения связи и радиофикации, в выдаваемых документах о правах на земельные участки в обязательном порядке делается отметка о наличии на участках зон с особыми условиями использования территории. </w:t>
      </w:r>
    </w:p>
    <w:p>
      <w:pPr>
        <w:pStyle w:val="Default"/>
        <w:ind w:firstLine="709"/>
        <w:jc w:val="both"/>
        <w:rPr>
          <w:color w:val="00000A"/>
        </w:rPr>
      </w:pPr>
      <w:r>
        <w:rPr>
          <w:color w:val="00000A"/>
        </w:rPr>
        <w:t xml:space="preserve">5. Территория охранных зон на трассах линий связи и линий радиофикации используется с учётом ограничений, установленных Правилами охраны линий и сооружений связи Российской Федерации, утверждёнными постановлением Правительства Российской Федерации от 09.06.1995 №578. </w:t>
      </w:r>
    </w:p>
    <w:p>
      <w:pPr>
        <w:pStyle w:val="Default"/>
        <w:ind w:firstLine="709"/>
        <w:jc w:val="both"/>
        <w:rPr>
          <w:color w:val="00000A"/>
        </w:rPr>
      </w:pPr>
      <w:r>
        <w:rPr>
          <w:color w:val="00000A"/>
        </w:rPr>
        <w:t xml:space="preserve">6.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утверждёнными постановлением Правительства Российской Федерации от 24.02.2009 №160, установлены запреты на использование территорий в границах охранных зон объектов электросетевого хозяйства (линий электропередач, трансформаторных и иных подстанций, распределительных пунктов и иного предназначенного для обеспечения электрических связей и осуществления передачи электрической энергии оборудования). </w:t>
      </w:r>
    </w:p>
    <w:p>
      <w:pPr>
        <w:pStyle w:val="Default"/>
        <w:ind w:firstLine="709"/>
        <w:jc w:val="both"/>
        <w:rPr>
          <w:color w:val="00000A"/>
        </w:rPr>
      </w:pPr>
      <w:r>
        <w:rPr>
          <w:color w:val="00000A"/>
        </w:rPr>
        <w:t xml:space="preserve">7. Охранные зоны объектов электросетевого хозяйства устанавливаются: </w:t>
      </w:r>
    </w:p>
    <w:p>
      <w:pPr>
        <w:pStyle w:val="Default"/>
        <w:ind w:firstLine="709"/>
        <w:jc w:val="both"/>
        <w:rPr>
          <w:color w:val="00000A"/>
        </w:rPr>
      </w:pPr>
      <w:r>
        <w:rPr>
          <w:color w:val="00000A"/>
        </w:rPr>
        <w:t xml:space="preserve">1) вдоль воздушных линий электропередачи (далее по тексту - ВЛ)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неотклонённом их положении на следующем расстоянии: </w:t>
      </w:r>
    </w:p>
    <w:p>
      <w:pPr>
        <w:pStyle w:val="Default"/>
        <w:ind w:firstLine="709"/>
        <w:jc w:val="both"/>
        <w:rPr>
          <w:color w:val="00000A"/>
        </w:rPr>
      </w:pPr>
      <w:r>
        <w:rPr>
          <w:color w:val="00000A"/>
        </w:rPr>
        <w:t xml:space="preserve">- до 1 кВ - 2 м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 </w:t>
      </w:r>
    </w:p>
    <w:p>
      <w:pPr>
        <w:pStyle w:val="Default"/>
        <w:ind w:firstLine="709"/>
        <w:jc w:val="both"/>
        <w:rPr>
          <w:color w:val="00000A"/>
        </w:rPr>
      </w:pPr>
      <w:r>
        <w:rPr>
          <w:color w:val="00000A"/>
        </w:rPr>
        <w:t xml:space="preserve">- 1-20 кВ - 10 м (5 м - для линий с самонесущими или изолированными проводами, размещённых в границах населённых пунктов); </w:t>
      </w:r>
    </w:p>
    <w:p>
      <w:pPr>
        <w:pStyle w:val="Default"/>
        <w:ind w:firstLine="709"/>
        <w:jc w:val="both"/>
        <w:rPr>
          <w:color w:val="00000A"/>
        </w:rPr>
      </w:pPr>
      <w:r>
        <w:rPr>
          <w:color w:val="00000A"/>
        </w:rPr>
        <w:t xml:space="preserve">- 35 кВ - 15 м; </w:t>
      </w:r>
    </w:p>
    <w:p>
      <w:pPr>
        <w:pStyle w:val="Default"/>
        <w:ind w:firstLine="709"/>
        <w:jc w:val="both"/>
        <w:rPr>
          <w:color w:val="00000A"/>
        </w:rPr>
      </w:pPr>
      <w:r>
        <w:rPr>
          <w:color w:val="00000A"/>
        </w:rPr>
        <w:t xml:space="preserve">- 110 кВ - 20 м; </w:t>
      </w:r>
    </w:p>
    <w:p>
      <w:pPr>
        <w:pStyle w:val="Default"/>
        <w:ind w:firstLine="709"/>
        <w:jc w:val="both"/>
        <w:rPr>
          <w:color w:val="00000A"/>
        </w:rPr>
      </w:pPr>
      <w:r>
        <w:rPr>
          <w:color w:val="00000A"/>
        </w:rPr>
        <w:t xml:space="preserve">2)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 </w:t>
      </w:r>
    </w:p>
    <w:p>
      <w:pPr>
        <w:pStyle w:val="Default"/>
        <w:ind w:firstLine="709"/>
        <w:jc w:val="both"/>
        <w:rPr>
          <w:color w:val="00000A"/>
        </w:rPr>
      </w:pPr>
      <w:r>
        <w:rPr>
          <w:color w:val="00000A"/>
        </w:rPr>
        <w:t xml:space="preserve">3) вдоль переходов ВЛ через водоёмы (реки и др.) - в виде воздушного пространства над водной поверхностью водоёмов (на высоту, соответствующую высоте опор ВЛ), ограниченного вертикальными плоскостями, отстоящими по обе стороны линии электропередачи от крайних проводов при неотклонённом их положении для несудоходных водоёмов - на расстоянии, предусмотренном для установления охранных зон вдоль ВЛ; </w:t>
      </w:r>
    </w:p>
    <w:p>
      <w:pPr>
        <w:pStyle w:val="Default"/>
        <w:ind w:firstLine="709"/>
        <w:jc w:val="both"/>
        <w:rPr>
          <w:color w:val="00000A"/>
        </w:rPr>
      </w:pPr>
      <w:r>
        <w:rPr>
          <w:color w:val="00000A"/>
        </w:rPr>
        <w:t xml:space="preserve">4)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предусмотренном для установления охранных зон вдоль ВЛ, применительно к высшему классу напряжения подстанции. </w:t>
      </w:r>
    </w:p>
    <w:p>
      <w:pPr>
        <w:pStyle w:val="Default"/>
        <w:ind w:firstLine="709"/>
        <w:jc w:val="both"/>
        <w:rPr>
          <w:color w:val="00000A"/>
        </w:rPr>
      </w:pPr>
      <w:r>
        <w:rPr>
          <w:color w:val="00000A"/>
        </w:rPr>
        <w:t xml:space="preserve">8. Территория охранных зон газораспределительных сетей используется с учётом ограничений, установленных Правилами охраны газораспределительных сетей, утверждёнными постановлением Правительства Российской Федерации от 20.11.2000 №878. </w:t>
      </w:r>
    </w:p>
    <w:p>
      <w:pPr>
        <w:pStyle w:val="Default"/>
        <w:ind w:firstLine="709"/>
        <w:jc w:val="both"/>
        <w:rPr>
          <w:color w:val="00000A"/>
        </w:rPr>
      </w:pPr>
      <w:r>
        <w:rPr>
          <w:color w:val="00000A"/>
        </w:rPr>
        <w:t xml:space="preserve">9. Для газораспределительных сетей устанавливаются следующие охранные зоны: </w:t>
      </w:r>
    </w:p>
    <w:p>
      <w:pPr>
        <w:pStyle w:val="Default"/>
        <w:ind w:firstLine="709"/>
        <w:jc w:val="both"/>
        <w:rPr>
          <w:color w:val="00000A"/>
        </w:rPr>
      </w:pPr>
      <w:r>
        <w:rPr>
          <w:color w:val="00000A"/>
        </w:rPr>
        <w:t xml:space="preserve">1) вдоль трасс наружных газопроводов - в виде территории, ограниченной условными линиями, проходящими на расстоянии 2 м с каждой стороны газопровода; </w:t>
      </w:r>
    </w:p>
    <w:p>
      <w:pPr>
        <w:pStyle w:val="Default"/>
        <w:ind w:firstLine="709"/>
        <w:jc w:val="both"/>
        <w:rPr>
          <w:color w:val="00000A"/>
        </w:rPr>
      </w:pPr>
      <w:r>
        <w:rPr>
          <w:color w:val="00000A"/>
        </w:rPr>
        <w:t xml:space="preserve">2)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 от газопровода со стороны провода и 2 м - с противоположной стороны; </w:t>
      </w:r>
    </w:p>
    <w:p>
      <w:pPr>
        <w:pStyle w:val="Default"/>
        <w:ind w:firstLine="709"/>
        <w:jc w:val="both"/>
        <w:rPr>
          <w:color w:val="00000A"/>
        </w:rPr>
      </w:pPr>
      <w:r>
        <w:rPr>
          <w:color w:val="00000A"/>
        </w:rPr>
        <w:t xml:space="preserve">3) вокруг отдельно стоящих газорегуляторных пунктов - в виде территории, ограниченной замкнутой линией, проведённой на расстоянии 10 м </w:t>
      </w:r>
    </w:p>
    <w:p>
      <w:pPr>
        <w:pStyle w:val="Default"/>
        <w:ind w:firstLine="709"/>
        <w:jc w:val="both"/>
        <w:rPr>
          <w:color w:val="00000A"/>
        </w:rPr>
      </w:pPr>
      <w:r>
        <w:rPr>
          <w:color w:val="00000A"/>
        </w:rPr>
        <w:t xml:space="preserve">от границ этих объектов. Для газорегуляторных пунктов, пристроенных к зданиям, охранная зона не регламентируется. </w:t>
      </w:r>
    </w:p>
    <w:p>
      <w:pPr>
        <w:pStyle w:val="Default"/>
        <w:ind w:firstLine="709"/>
        <w:jc w:val="both"/>
        <w:rPr>
          <w:color w:val="00000A"/>
        </w:rPr>
      </w:pPr>
      <w:r>
        <w:rPr>
          <w:color w:val="00000A"/>
        </w:rPr>
        <w:t xml:space="preserve">Отсчёт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 </w:t>
      </w:r>
    </w:p>
    <w:p>
      <w:pPr>
        <w:pStyle w:val="Default"/>
        <w:ind w:firstLine="709"/>
        <w:jc w:val="both"/>
        <w:rPr>
          <w:color w:val="00000A"/>
        </w:rPr>
      </w:pPr>
      <w:r>
        <w:rPr>
          <w:color w:val="00000A"/>
        </w:rPr>
        <w:t xml:space="preserve">10. Установление охранных зон газораспределительных сетей не влечёт запрета на совершение сделок с земельными участками, расположенными в этих охранных зонах. В документах, удостоверяющих права правообладателей земельных участков, на земельные участки, расположенные в охранных зонах газораспределительных сетей, указываются обременения (ограничения) прав этих собственников, владельцев и пользователей. </w:t>
      </w:r>
    </w:p>
    <w:p>
      <w:pPr>
        <w:pStyle w:val="Default"/>
        <w:ind w:firstLine="709"/>
        <w:jc w:val="both"/>
        <w:rPr>
          <w:color w:val="00000A"/>
        </w:rPr>
      </w:pPr>
      <w:r>
        <w:rPr>
          <w:color w:val="00000A"/>
        </w:rPr>
        <w:t xml:space="preserve">11. В соответствии со ст.11.9 Земельного кодекса Российской Федерации не допускается раздел, перераспределение или выдел земельных участков, если сохраняемые в отношении образуемых земельных участков обременения (ограничения) не позволяют использовать указанные земельные участки в соответствии с разрешённым использованием. </w:t>
      </w:r>
    </w:p>
    <w:p>
      <w:pPr>
        <w:pStyle w:val="2"/>
        <w:jc w:val="both"/>
        <w:rPr>
          <w:rFonts w:ascii="Times New Roman" w:hAnsi="Times New Roman" w:cs="Times New Roman"/>
          <w:b/>
          <w:b/>
          <w:i/>
          <w:i/>
          <w:color w:val="00000A"/>
          <w:sz w:val="24"/>
          <w:szCs w:val="24"/>
        </w:rPr>
      </w:pPr>
      <w:bookmarkStart w:id="65" w:name="_Toc485621470"/>
      <w:r>
        <w:rPr>
          <w:rFonts w:cs="Times New Roman" w:ascii="Times New Roman" w:hAnsi="Times New Roman"/>
          <w:b/>
          <w:i/>
          <w:color w:val="00000A"/>
          <w:sz w:val="24"/>
          <w:szCs w:val="24"/>
        </w:rPr>
        <w:t>Статья 47.3. Санитарно-защитные зоны. Санитарные разрывы</w:t>
      </w:r>
      <w:bookmarkEnd w:id="65"/>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В настоящих Правилах приняты ориентировочные размеры санитарно-защитных зон с учётом рекомендуемых минимальных размеров санитарных разрывов и ориентировочных санитарно-защитных зон в соответствии с классификацией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 (далее по тексту - СанПиН 2.2.1/2.1.1.1200-03). </w:t>
      </w:r>
    </w:p>
    <w:p>
      <w:pPr>
        <w:pStyle w:val="Default"/>
        <w:ind w:firstLine="709"/>
        <w:jc w:val="both"/>
        <w:rPr>
          <w:color w:val="00000A"/>
        </w:rPr>
      </w:pPr>
      <w:r>
        <w:rPr>
          <w:color w:val="00000A"/>
        </w:rPr>
        <w:t xml:space="preserve">2. Установление санитарно-защитных зон для промышленных объектов и производств проводится при наличии проектов обоснования санитарно-защитных зон. </w:t>
      </w:r>
    </w:p>
    <w:p>
      <w:pPr>
        <w:pStyle w:val="Default"/>
        <w:ind w:firstLine="709"/>
        <w:jc w:val="both"/>
        <w:rPr>
          <w:color w:val="00000A"/>
        </w:rPr>
      </w:pPr>
      <w:r>
        <w:rPr>
          <w:color w:val="00000A"/>
        </w:rPr>
        <w:t xml:space="preserve">3. Санитарно-защитная зона или какая-либо её часть не может рассматриваться как резервная территория объекта и использоваться для расширения какой-либо территориальной зоны. Территория санитарно-защитных зон не должна использоваться для рекреационных целей и производства сельскохозяйственной продукции. </w:t>
      </w:r>
    </w:p>
    <w:p>
      <w:pPr>
        <w:pStyle w:val="Default"/>
        <w:ind w:firstLine="709"/>
        <w:jc w:val="both"/>
        <w:rPr>
          <w:color w:val="00000A"/>
        </w:rPr>
      </w:pPr>
      <w:r>
        <w:rPr>
          <w:color w:val="00000A"/>
        </w:rPr>
        <w:t xml:space="preserve">4. В санитарно-защитной зоне не допускается размещать: жилые зоны, зоны рекреационного назначения, зоны отдыха, санаториев и домов отдыха, территорий для ведения садоводства, огородничества, дачного хозяйства, а также других территорий с нормируемыми показателями качества среды обитания; объекты физической культуры и спорта, детские площадки, объекты образования, здравоохранения. </w:t>
      </w:r>
    </w:p>
    <w:p>
      <w:pPr>
        <w:pStyle w:val="Default"/>
        <w:ind w:firstLine="709"/>
        <w:jc w:val="both"/>
        <w:rPr>
          <w:color w:val="00000A"/>
        </w:rPr>
      </w:pPr>
      <w:r>
        <w:rPr>
          <w:color w:val="00000A"/>
        </w:rPr>
        <w:t xml:space="preserve">5. 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 </w:t>
      </w:r>
    </w:p>
    <w:p>
      <w:pPr>
        <w:pStyle w:val="Default"/>
        <w:ind w:firstLine="709"/>
        <w:jc w:val="both"/>
        <w:rPr>
          <w:color w:val="00000A"/>
        </w:rPr>
      </w:pPr>
      <w:r>
        <w:rPr>
          <w:color w:val="00000A"/>
        </w:rPr>
        <w:t xml:space="preserve">6. Допускается размещать в границах санитарно-защитной зоны промышленного объекта или производства: </w:t>
      </w:r>
    </w:p>
    <w:p>
      <w:pPr>
        <w:pStyle w:val="Default"/>
        <w:ind w:firstLine="709"/>
        <w:jc w:val="both"/>
        <w:rPr>
          <w:color w:val="00000A"/>
        </w:rPr>
      </w:pPr>
      <w:r>
        <w:rPr>
          <w:color w:val="00000A"/>
        </w:rPr>
        <w:t xml:space="preserve">-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 </w:t>
      </w:r>
    </w:p>
    <w:p>
      <w:pPr>
        <w:pStyle w:val="Default"/>
        <w:ind w:firstLine="709"/>
        <w:jc w:val="both"/>
        <w:rPr>
          <w:color w:val="00000A"/>
        </w:rPr>
      </w:pPr>
      <w:r>
        <w:rPr>
          <w:color w:val="00000A"/>
        </w:rPr>
        <w:t xml:space="preserve">7. Минимальную площадь озеленения санитарно-защитных зон следует принимать в зависимости от ширины зоны, %: </w:t>
      </w:r>
    </w:p>
    <w:p>
      <w:pPr>
        <w:pStyle w:val="Default"/>
        <w:ind w:firstLine="709"/>
        <w:jc w:val="both"/>
        <w:rPr>
          <w:color w:val="00000A"/>
        </w:rPr>
      </w:pPr>
      <w:r>
        <w:rPr>
          <w:color w:val="00000A"/>
        </w:rPr>
        <w:t xml:space="preserve">- до 300 м - 60; </w:t>
      </w:r>
    </w:p>
    <w:p>
      <w:pPr>
        <w:pStyle w:val="Default"/>
        <w:ind w:firstLine="709"/>
        <w:jc w:val="both"/>
        <w:rPr>
          <w:color w:val="00000A"/>
        </w:rPr>
      </w:pPr>
      <w:r>
        <w:rPr>
          <w:color w:val="00000A"/>
        </w:rPr>
        <w:t xml:space="preserve">- свыше 300 до 1000 м - 50; </w:t>
      </w:r>
    </w:p>
    <w:p>
      <w:pPr>
        <w:pStyle w:val="Default"/>
        <w:ind w:firstLine="709"/>
        <w:jc w:val="both"/>
        <w:rPr>
          <w:color w:val="00000A"/>
        </w:rPr>
      </w:pPr>
      <w:r>
        <w:rPr>
          <w:color w:val="00000A"/>
        </w:rPr>
        <w:t xml:space="preserve">- свыше 1000 до 3000 м - 40; </w:t>
      </w:r>
    </w:p>
    <w:p>
      <w:pPr>
        <w:pStyle w:val="Default"/>
        <w:ind w:firstLine="709"/>
        <w:jc w:val="both"/>
        <w:rPr>
          <w:color w:val="00000A"/>
        </w:rPr>
      </w:pPr>
      <w:r>
        <w:rPr>
          <w:color w:val="00000A"/>
        </w:rPr>
        <w:t xml:space="preserve">- свыше 3000 м - 20. </w:t>
      </w:r>
    </w:p>
    <w:p>
      <w:pPr>
        <w:pStyle w:val="Default"/>
        <w:ind w:firstLine="709"/>
        <w:jc w:val="both"/>
        <w:rPr>
          <w:color w:val="00000A"/>
        </w:rPr>
      </w:pPr>
      <w:r>
        <w:rPr>
          <w:color w:val="00000A"/>
        </w:rPr>
        <w:t xml:space="preserve">8. В целях защиты населения от воздействия электрического поля, создаваемого ВЛ устанавливаются санитарные разрывы вдоль трассы ВЛ, за пределами которых напряжённость электрического поля не превышает 1 кВ/м. </w:t>
      </w:r>
    </w:p>
    <w:p>
      <w:pPr>
        <w:pStyle w:val="Default"/>
        <w:ind w:firstLine="709"/>
        <w:jc w:val="both"/>
        <w:rPr>
          <w:color w:val="00000A"/>
        </w:rPr>
      </w:pPr>
      <w:r>
        <w:rPr>
          <w:color w:val="00000A"/>
        </w:rPr>
        <w:t xml:space="preserve">9. Для автомагистралей, линий железнодорожного транспорта, гаражей и автостоянок, а также вдоль стандартных маршрутов полёта в зоне взлёта и посадки воздушных судов устанавливается расстояние от источника химического, биологического и (или) физического воздействия, уменьшающее эти воздействия до значений гигиенических нормативов (далее - санитарные разрывы). Величина санитарного разрыва устанавливается в каждом конкретном случае на основании расчётов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 </w:t>
      </w:r>
    </w:p>
    <w:p>
      <w:pPr>
        <w:pStyle w:val="Default"/>
        <w:ind w:firstLine="709"/>
        <w:jc w:val="both"/>
        <w:rPr>
          <w:color w:val="00000A"/>
        </w:rPr>
      </w:pPr>
      <w:r>
        <w:rPr>
          <w:color w:val="00000A"/>
        </w:rPr>
        <w:t xml:space="preserve">10. Жилую застройку необходимо отделять от железных дорог санитарно-защитной зоной шириной не менее 100 м, считая от оси крайнего железнодорожного пути. При размещении железных дорог в выемке или при осуществлении специальных шумозащитных мероприятий, обеспечивающих требования свода правил СП 51.13330.2011 «СНиП 23-03-2003 «Защита от шума», ширина санитарно-защитной зоны может быть уменьшена, но не более чем на 50 м. </w:t>
      </w:r>
    </w:p>
    <w:p>
      <w:pPr>
        <w:pStyle w:val="Default"/>
        <w:ind w:firstLine="709"/>
        <w:jc w:val="both"/>
        <w:rPr>
          <w:color w:val="00000A"/>
        </w:rPr>
      </w:pPr>
      <w:r>
        <w:rPr>
          <w:color w:val="00000A"/>
        </w:rPr>
        <w:t xml:space="preserve">11. В санитарно-защитных зонах, вне полосы отвода железной дороги, допускается размещать автомобильные дороги, гаражи, стоянки автомобилей, склады, учреждения коммунально-бытового назначения. Не менее 50% площади санитарно-защитной зоны должно быть озеленено. </w:t>
      </w:r>
    </w:p>
    <w:p>
      <w:pPr>
        <w:pStyle w:val="2"/>
        <w:jc w:val="both"/>
        <w:rPr>
          <w:rFonts w:ascii="Times New Roman" w:hAnsi="Times New Roman" w:cs="Times New Roman"/>
          <w:b/>
          <w:b/>
          <w:i/>
          <w:i/>
          <w:color w:val="00000A"/>
          <w:sz w:val="24"/>
          <w:szCs w:val="24"/>
        </w:rPr>
      </w:pPr>
      <w:bookmarkStart w:id="66" w:name="_Toc485621471"/>
      <w:r>
        <w:rPr>
          <w:rFonts w:cs="Times New Roman" w:ascii="Times New Roman" w:hAnsi="Times New Roman"/>
          <w:b/>
          <w:i/>
          <w:color w:val="00000A"/>
          <w:sz w:val="24"/>
          <w:szCs w:val="24"/>
        </w:rPr>
        <w:t>Статья 47.4. Приаэродромная территория</w:t>
      </w:r>
      <w:bookmarkEnd w:id="66"/>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Приаэродромная территория является зоной с особыми условиями использования территории и отображается в схеме территориального планирования Карачаево-Черкесской Республики. </w:t>
      </w:r>
    </w:p>
    <w:p>
      <w:pPr>
        <w:pStyle w:val="Default"/>
        <w:ind w:firstLine="709"/>
        <w:jc w:val="both"/>
        <w:rPr>
          <w:color w:val="00000A"/>
        </w:rPr>
      </w:pPr>
      <w:r>
        <w:rPr>
          <w:color w:val="00000A"/>
        </w:rPr>
        <w:t xml:space="preserve">2. Использование воздушного пространства регулируется воздушным законодательством Российской Федерации. </w:t>
      </w:r>
    </w:p>
    <w:p>
      <w:pPr>
        <w:pStyle w:val="Default"/>
        <w:ind w:firstLine="709"/>
        <w:jc w:val="both"/>
        <w:rPr>
          <w:color w:val="00000A"/>
        </w:rPr>
      </w:pPr>
      <w:r>
        <w:rPr>
          <w:color w:val="00000A"/>
        </w:rPr>
        <w:t xml:space="preserve">3. Порядок использования воздушного пространства Российской Федерации в интересах экономики и обороны страны, в целях удовлетворения потребностей пользователей воздушного пространства, обеспечения безопасности использования воздушного пространства устанавливается Федеральными правилами использования воздушного пространства Российской Федерации, утверждёнными постановлением Правительства Российской Федерации от 11.03.2010 №138. </w:t>
      </w:r>
    </w:p>
    <w:p>
      <w:pPr>
        <w:pStyle w:val="Default"/>
        <w:ind w:firstLine="709"/>
        <w:jc w:val="both"/>
        <w:rPr>
          <w:color w:val="00000A"/>
        </w:rPr>
      </w:pPr>
      <w:r>
        <w:rPr>
          <w:color w:val="00000A"/>
        </w:rPr>
        <w:t xml:space="preserve">4. Проектирование, строительство и развитие сельских поселений, а также строительство и реконструкция промышленных, сельскохозяйственных и иных объектов в пределах приаэродромной территории должны проводиться с соблюдением требований безопасности полётов воздушных судов, с учётом возможных негативных воздействий оборудования аэродрома и полётов воздушных судов на здоровье граждан и деятельность юридических лиц и по согласованию с собственником аэродрома. </w:t>
      </w:r>
    </w:p>
    <w:p>
      <w:pPr>
        <w:pStyle w:val="Default"/>
        <w:ind w:firstLine="709"/>
        <w:jc w:val="both"/>
        <w:rPr>
          <w:color w:val="00000A"/>
        </w:rPr>
      </w:pPr>
      <w:r>
        <w:rPr>
          <w:color w:val="00000A"/>
        </w:rPr>
        <w:t xml:space="preserve">5. На аэродроме устанавливается полоса воздушных подходов (воздушное пространство в установленных границах), примыкающая к торцу взлётно-посадочной полосы и расположенная в направлении её оси, в которой воздушные суда производят набор высоты после взлёта и снижение при заходе на посадку. Границы полос воздушных подходов устанавливаются в порядке, определённом Министерством транспорта Российской Федерации, Министерством обороны Российской Федерации, Министерством промышленности и торговли Российской Федерации соответственно для гражданской, государственной и экспериментальной авиации. </w:t>
      </w:r>
    </w:p>
    <w:p>
      <w:pPr>
        <w:pStyle w:val="Default"/>
        <w:ind w:firstLine="709"/>
        <w:jc w:val="both"/>
        <w:rPr>
          <w:color w:val="00000A"/>
        </w:rPr>
      </w:pPr>
      <w:r>
        <w:rPr>
          <w:color w:val="00000A"/>
        </w:rPr>
        <w:t xml:space="preserve">6. Для организации выполнения аэродромных полётов устанавливаются районы аэродромов (вертодромов). </w:t>
      </w:r>
    </w:p>
    <w:p>
      <w:pPr>
        <w:pStyle w:val="Default"/>
        <w:ind w:firstLine="709"/>
        <w:jc w:val="both"/>
        <w:rPr>
          <w:color w:val="00000A"/>
        </w:rPr>
      </w:pPr>
      <w:r>
        <w:rPr>
          <w:color w:val="00000A"/>
        </w:rPr>
        <w:t xml:space="preserve">7. Запрещается размещать в полосах воздушных подходов на удалении до 30 км, а вне полос воздушных подходов - до 15 км от контрольной точки аэродрома объекты выбросов (размещения) отходов, животноводческие фермы, скотобойни и другие объекты, способствующие привлечению и массовому скоплению птиц. </w:t>
      </w:r>
    </w:p>
    <w:p>
      <w:pPr>
        <w:pStyle w:val="Default"/>
        <w:ind w:firstLine="709"/>
        <w:jc w:val="both"/>
        <w:rPr>
          <w:color w:val="00000A"/>
        </w:rPr>
      </w:pPr>
      <w:r>
        <w:rPr>
          <w:color w:val="00000A"/>
        </w:rPr>
        <w:t xml:space="preserve">8. В пределах границ района аэродрома (вертодрома, посадочной площадки) запрещается строительство без согласования: </w:t>
      </w:r>
    </w:p>
    <w:p>
      <w:pPr>
        <w:pStyle w:val="Default"/>
        <w:ind w:firstLine="709"/>
        <w:jc w:val="both"/>
        <w:rPr>
          <w:color w:val="00000A"/>
        </w:rPr>
      </w:pPr>
      <w:r>
        <w:rPr>
          <w:color w:val="00000A"/>
        </w:rPr>
        <w:t xml:space="preserve">а) объектов высотой 50 м и более относительно уровня аэродрома (вертодрома); </w:t>
      </w:r>
    </w:p>
    <w:p>
      <w:pPr>
        <w:pStyle w:val="Default"/>
        <w:ind w:firstLine="709"/>
        <w:jc w:val="both"/>
        <w:rPr>
          <w:color w:val="00000A"/>
        </w:rPr>
      </w:pPr>
      <w:r>
        <w:rPr>
          <w:color w:val="00000A"/>
        </w:rPr>
        <w:t xml:space="preserve">б) 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 </w:t>
      </w:r>
    </w:p>
    <w:p>
      <w:pPr>
        <w:pStyle w:val="Default"/>
        <w:ind w:firstLine="709"/>
        <w:jc w:val="both"/>
        <w:rPr>
          <w:color w:val="00000A"/>
        </w:rPr>
      </w:pPr>
      <w:r>
        <w:rPr>
          <w:color w:val="00000A"/>
        </w:rPr>
        <w:t xml:space="preserve">в) взрывоопасных объектов; </w:t>
      </w:r>
    </w:p>
    <w:p>
      <w:pPr>
        <w:pStyle w:val="Default"/>
        <w:ind w:firstLine="709"/>
        <w:jc w:val="both"/>
        <w:rPr>
          <w:color w:val="00000A"/>
        </w:rPr>
      </w:pPr>
      <w:r>
        <w:rPr>
          <w:color w:val="00000A"/>
        </w:rPr>
        <w:t xml:space="preserve">г) факельных устройств для аварийного сжигания сбрасываемых газов высотой 50 м и более (с учётом возможной высоты выброса пламени); </w:t>
      </w:r>
    </w:p>
    <w:p>
      <w:pPr>
        <w:pStyle w:val="Default"/>
        <w:ind w:firstLine="709"/>
        <w:jc w:val="both"/>
        <w:rPr>
          <w:color w:val="00000A"/>
        </w:rPr>
      </w:pPr>
      <w:r>
        <w:rPr>
          <w:color w:val="00000A"/>
        </w:rPr>
        <w:t xml:space="preserve">д) промышленных и иных предприятий и сооружений, деятельность которых может привести к ухудшению видимости в районе аэродрома (вертодрома). </w:t>
      </w:r>
    </w:p>
    <w:p>
      <w:pPr>
        <w:pStyle w:val="2"/>
        <w:jc w:val="both"/>
        <w:rPr>
          <w:rFonts w:ascii="Times New Roman" w:hAnsi="Times New Roman" w:cs="Times New Roman"/>
          <w:b/>
          <w:b/>
          <w:i/>
          <w:i/>
          <w:color w:val="00000A"/>
          <w:sz w:val="24"/>
          <w:szCs w:val="24"/>
        </w:rPr>
      </w:pPr>
      <w:bookmarkStart w:id="67" w:name="_Toc485621472"/>
      <w:r>
        <w:rPr>
          <w:rFonts w:cs="Times New Roman" w:ascii="Times New Roman" w:hAnsi="Times New Roman"/>
          <w:b/>
          <w:i/>
          <w:color w:val="00000A"/>
          <w:sz w:val="24"/>
          <w:szCs w:val="24"/>
        </w:rPr>
        <w:t>Статья 47.5. Зоны санитарной охраны источников водоснабжения</w:t>
      </w:r>
      <w:bookmarkEnd w:id="67"/>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1. Зона санитарной охраны (далее по тексту - ЗСО) источников водоснабжения организуются в составе трёх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 </w:t>
      </w:r>
    </w:p>
    <w:p>
      <w:pPr>
        <w:pStyle w:val="Default"/>
        <w:ind w:firstLine="709"/>
        <w:jc w:val="both"/>
        <w:rPr>
          <w:color w:val="00000A"/>
        </w:rPr>
      </w:pPr>
      <w:r>
        <w:rPr>
          <w:color w:val="00000A"/>
        </w:rPr>
        <w:t xml:space="preserve">3. Санитарная охрана водоводов обеспечивается санитарно-защитной полосой. </w:t>
      </w:r>
    </w:p>
    <w:p>
      <w:pPr>
        <w:pStyle w:val="Default"/>
        <w:ind w:firstLine="709"/>
        <w:jc w:val="both"/>
        <w:rPr>
          <w:color w:val="00000A"/>
        </w:rPr>
      </w:pPr>
      <w:r>
        <w:rPr>
          <w:color w:val="00000A"/>
        </w:rPr>
        <w:t xml:space="preserve">4. В каждом из трёх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w:t>
      </w:r>
    </w:p>
    <w:p>
      <w:pPr>
        <w:pStyle w:val="Default"/>
        <w:ind w:firstLine="709"/>
        <w:jc w:val="both"/>
        <w:rPr>
          <w:color w:val="00000A"/>
        </w:rPr>
      </w:pPr>
      <w:r>
        <w:rPr>
          <w:color w:val="00000A"/>
        </w:rPr>
        <w:t xml:space="preserve">5. Границы поясов ЗСО источников водоснабжения определяются в соответствии с санитарными правилами и нормами СанПиН 2.1.4.1110-02 «Зоны санитарной охраны источников водоснабжения и водопроводов питьевого назначения». </w:t>
      </w:r>
    </w:p>
    <w:p>
      <w:pPr>
        <w:pStyle w:val="Default"/>
        <w:ind w:firstLine="709"/>
        <w:jc w:val="both"/>
        <w:rPr>
          <w:color w:val="00000A"/>
        </w:rPr>
      </w:pPr>
      <w:r>
        <w:rPr>
          <w:color w:val="00000A"/>
        </w:rPr>
        <w:t xml:space="preserve">6. Размещение открытых и закрытых стоянок не допускается в первом, втором, третьем поясах ЗСО водозаборов хозяйственно-питьевого назначения. </w:t>
      </w:r>
    </w:p>
    <w:p>
      <w:pPr>
        <w:pStyle w:val="2"/>
        <w:jc w:val="both"/>
        <w:rPr>
          <w:rFonts w:ascii="Times New Roman" w:hAnsi="Times New Roman" w:cs="Times New Roman"/>
          <w:b/>
          <w:b/>
          <w:i/>
          <w:i/>
          <w:color w:val="00000A"/>
          <w:sz w:val="24"/>
          <w:szCs w:val="24"/>
        </w:rPr>
      </w:pPr>
      <w:bookmarkStart w:id="68" w:name="_Toc485621473"/>
      <w:r>
        <w:rPr>
          <w:rFonts w:cs="Times New Roman" w:ascii="Times New Roman" w:hAnsi="Times New Roman"/>
          <w:b/>
          <w:i/>
          <w:color w:val="00000A"/>
          <w:sz w:val="24"/>
          <w:szCs w:val="24"/>
        </w:rPr>
        <w:t>Статья 47.6. Зоны объектов культурного наследия</w:t>
      </w:r>
      <w:bookmarkEnd w:id="68"/>
      <w:r>
        <w:rPr>
          <w:rFonts w:cs="Times New Roman" w:ascii="Times New Roman" w:hAnsi="Times New Roman"/>
          <w:b/>
          <w:i/>
          <w:color w:val="00000A"/>
          <w:sz w:val="24"/>
          <w:szCs w:val="24"/>
        </w:rPr>
        <w:t xml:space="preserve"> </w:t>
      </w:r>
    </w:p>
    <w:p>
      <w:pPr>
        <w:pStyle w:val="Default"/>
        <w:ind w:firstLine="709"/>
        <w:jc w:val="both"/>
        <w:rPr>
          <w:color w:val="00000A"/>
        </w:rPr>
      </w:pPr>
      <w:r>
        <w:rPr>
          <w:color w:val="00000A"/>
        </w:rPr>
        <w:t xml:space="preserve">На территории объекта культурного наследия, как неотъемлемой части объекта культурного наследия, сохранению подлежат все исторически ценные элементы: малые формы, элементы благоустройства, зеленые насаждения, ландшафт и другие элементы. На территории обеспечивается научная реставрация объектов культурного наследия. При реставрации рекомендуется максимально сохранять первоначальные подлинные архитектурные детали и строительные конструкции. </w:t>
      </w:r>
    </w:p>
    <w:p>
      <w:pPr>
        <w:pStyle w:val="Default"/>
        <w:ind w:firstLine="709"/>
        <w:jc w:val="both"/>
        <w:rPr>
          <w:color w:val="00000A"/>
        </w:rPr>
      </w:pPr>
      <w:r>
        <w:rPr>
          <w:color w:val="00000A"/>
        </w:rPr>
        <w:t>Проектирование и проведение земляных, строительных, хозяйственных и иных работ на территории памятника запрещается, за исключением работ по сохранению данного памятника и его территории. Хозяйственная деятельность на территории памятника может осуществляться методами, не нарушающими целостности памятника и его территории, и не создающими угрозы их повреждения, разрушения или уничтожения и только по согласованию с уполномоченным органом охраны памятников.</w:t>
      </w:r>
    </w:p>
    <w:p>
      <w:pPr>
        <w:pStyle w:val="Default"/>
        <w:ind w:firstLine="709"/>
        <w:jc w:val="both"/>
        <w:rPr>
          <w:color w:val="00000A"/>
        </w:rPr>
      </w:pPr>
      <w:r>
        <w:rPr>
          <w:color w:val="00000A"/>
        </w:rPr>
        <w:t xml:space="preserve">Объекты дисгармоничные по отношению к исторической застройке подлежат приведению к регламентам зон охраны. </w:t>
      </w:r>
    </w:p>
    <w:p>
      <w:pPr>
        <w:pStyle w:val="Default"/>
        <w:ind w:firstLine="709"/>
        <w:jc w:val="both"/>
        <w:rPr>
          <w:color w:val="00000A"/>
        </w:rPr>
      </w:pPr>
      <w:r>
        <w:rPr>
          <w:color w:val="00000A"/>
        </w:rPr>
        <w:t>На территории памятника допускается выполнять следующие работы:</w:t>
      </w:r>
    </w:p>
    <w:p>
      <w:pPr>
        <w:pStyle w:val="Default"/>
        <w:ind w:firstLine="709"/>
        <w:jc w:val="both"/>
        <w:rPr>
          <w:color w:val="00000A"/>
        </w:rPr>
      </w:pPr>
      <w:r>
        <w:rPr>
          <w:color w:val="00000A"/>
        </w:rPr>
        <w:t>- работы, связанные с сохранением и восстановлением зданий и сооружений, представляющих историко-культурную ценность.</w:t>
      </w:r>
    </w:p>
    <w:p>
      <w:pPr>
        <w:pStyle w:val="Default"/>
        <w:ind w:firstLine="709"/>
        <w:jc w:val="both"/>
        <w:rPr>
          <w:color w:val="00000A"/>
        </w:rPr>
      </w:pPr>
      <w:r>
        <w:rPr>
          <w:color w:val="00000A"/>
        </w:rPr>
        <w:t>- реставрация и воссоздание: дорог и дорожек, наружного освещения, озеленения и благоустройства.</w:t>
      </w:r>
    </w:p>
    <w:p>
      <w:pPr>
        <w:pStyle w:val="Default"/>
        <w:ind w:firstLine="709"/>
        <w:jc w:val="both"/>
        <w:rPr>
          <w:color w:val="00000A"/>
        </w:rPr>
      </w:pPr>
      <w:r>
        <w:rPr>
          <w:color w:val="00000A"/>
        </w:rPr>
        <w:t>- проведение работ по благоустройству территории, вызванных требованиями современного использования объекта культурного наследия, но не нарушающих исторически ценную градостроительную среду и природный ландшафт.</w:t>
      </w:r>
    </w:p>
    <w:p>
      <w:pPr>
        <w:pStyle w:val="Default"/>
        <w:ind w:firstLine="709"/>
        <w:jc w:val="both"/>
        <w:rPr>
          <w:color w:val="00000A"/>
        </w:rPr>
      </w:pPr>
      <w:r>
        <w:rPr>
          <w:color w:val="00000A"/>
        </w:rPr>
        <w:t>- работы по возведению временных сооружений для обеспечения жизнедеятельности объекта культурного наследия могут осуществляться только на основании специальных проектов, согласованных с уполномоченным органом охраны памятников.</w:t>
      </w:r>
    </w:p>
    <w:p>
      <w:pPr>
        <w:pStyle w:val="Default"/>
        <w:ind w:firstLine="709"/>
        <w:jc w:val="both"/>
        <w:rPr>
          <w:color w:val="00000A"/>
        </w:rPr>
      </w:pPr>
      <w:r>
        <w:rPr>
          <w:color w:val="00000A"/>
        </w:rPr>
        <w:t>- работы по прокладки и ремонту коммуникаций и сетей, которые необходимы для обеспечения жизнедеятельности и эксплуатации объекта культурного наследия.</w:t>
      </w:r>
    </w:p>
    <w:p>
      <w:pPr>
        <w:pStyle w:val="Default"/>
        <w:ind w:firstLine="709"/>
        <w:jc w:val="both"/>
        <w:rPr>
          <w:color w:val="00000A"/>
        </w:rPr>
      </w:pPr>
      <w:r>
        <w:rPr>
          <w:color w:val="00000A"/>
        </w:rPr>
        <w:t>- работы по обрезке существующих деревьев и кустарников.</w:t>
      </w:r>
    </w:p>
    <w:p>
      <w:pPr>
        <w:pStyle w:val="Default"/>
        <w:ind w:firstLine="709"/>
        <w:jc w:val="both"/>
        <w:rPr>
          <w:color w:val="00000A"/>
        </w:rPr>
      </w:pPr>
      <w:r>
        <w:rPr>
          <w:color w:val="00000A"/>
        </w:rPr>
        <w:t>- удаление больных деревьев и деревьев, расположенных ближе, чем в 5-ти метрах от стен здания.</w:t>
      </w:r>
    </w:p>
    <w:p>
      <w:pPr>
        <w:pStyle w:val="Default"/>
        <w:ind w:firstLine="709"/>
        <w:jc w:val="both"/>
        <w:rPr>
          <w:color w:val="00000A"/>
        </w:rPr>
      </w:pPr>
      <w:r>
        <w:rPr>
          <w:color w:val="00000A"/>
        </w:rPr>
        <w:t>На территории памятника запрещается:</w:t>
      </w:r>
    </w:p>
    <w:p>
      <w:pPr>
        <w:pStyle w:val="Default"/>
        <w:ind w:firstLine="709"/>
        <w:jc w:val="both"/>
        <w:rPr>
          <w:color w:val="00000A"/>
        </w:rPr>
      </w:pPr>
      <w:r>
        <w:rPr>
          <w:color w:val="00000A"/>
        </w:rPr>
        <w:t>- новое строительство, за исключением воссоздания утраченных зданий и строений на компенсационной основе.</w:t>
      </w:r>
    </w:p>
    <w:p>
      <w:pPr>
        <w:pStyle w:val="Default"/>
        <w:ind w:firstLine="709"/>
        <w:jc w:val="both"/>
        <w:rPr>
          <w:color w:val="00000A"/>
        </w:rPr>
      </w:pPr>
      <w:r>
        <w:rPr>
          <w:color w:val="00000A"/>
        </w:rPr>
        <w:t>- реконструкция и прокладка новых инженерных коммуникаций и сетей, не относящихся к объекту культурного наследия.</w:t>
      </w:r>
    </w:p>
    <w:p>
      <w:pPr>
        <w:pStyle w:val="Default"/>
        <w:ind w:firstLine="709"/>
        <w:jc w:val="both"/>
        <w:rPr>
          <w:color w:val="00000A"/>
        </w:rPr>
      </w:pPr>
      <w:r>
        <w:rPr>
          <w:color w:val="00000A"/>
        </w:rPr>
        <w:t>- прокладка открытых коммуникаций.</w:t>
      </w:r>
    </w:p>
    <w:p>
      <w:pPr>
        <w:pStyle w:val="Default"/>
        <w:ind w:firstLine="709"/>
        <w:jc w:val="both"/>
        <w:rPr>
          <w:color w:val="00000A"/>
        </w:rPr>
      </w:pPr>
      <w:r>
        <w:rPr>
          <w:color w:val="00000A"/>
        </w:rPr>
        <w:t>- размещение рекламных конструкций, закрывающих обзор на памятник.</w:t>
      </w:r>
    </w:p>
    <w:p>
      <w:pPr>
        <w:pStyle w:val="Default"/>
        <w:ind w:firstLine="709"/>
        <w:jc w:val="both"/>
        <w:rPr>
          <w:color w:val="00000A"/>
        </w:rPr>
      </w:pPr>
      <w:r>
        <w:rPr>
          <w:color w:val="00000A"/>
        </w:rPr>
        <w:t>- проведение любых проектных, строительных, кадастровых, земляных работ, не направленных на реставрацию или консервацию памятников, в том числе установка временных сооружений, навесов, автостоянок, гаражей.</w:t>
      </w:r>
    </w:p>
    <w:p>
      <w:pPr>
        <w:pStyle w:val="Default"/>
        <w:ind w:firstLine="709"/>
        <w:jc w:val="both"/>
        <w:rPr>
          <w:color w:val="00000A"/>
        </w:rPr>
      </w:pPr>
      <w:r>
        <w:rPr>
          <w:color w:val="00000A"/>
        </w:rPr>
        <w:t>- Посадка новых деревьев и кустарников ближе, чем в 5-ти метрах от стен объектов культурного наследия.</w:t>
      </w:r>
    </w:p>
    <w:p>
      <w:pPr>
        <w:pStyle w:val="Default"/>
        <w:ind w:firstLine="709"/>
        <w:jc w:val="both"/>
        <w:rPr>
          <w:color w:val="00000A"/>
        </w:rPr>
      </w:pPr>
      <w:r>
        <w:rPr>
          <w:color w:val="00000A"/>
        </w:rPr>
        <w:t xml:space="preserve">В охранной зоне запрещается хозяйственная деятельность, за исключением работ, направленных на обеспечение сохранности объекта культурного наследия и его архитектурно-исторического окружения. </w:t>
      </w:r>
    </w:p>
    <w:p>
      <w:pPr>
        <w:pStyle w:val="Default"/>
        <w:ind w:firstLine="709"/>
        <w:jc w:val="both"/>
        <w:rPr>
          <w:color w:val="00000A"/>
        </w:rPr>
      </w:pPr>
      <w:r>
        <w:rPr>
          <w:color w:val="00000A"/>
        </w:rPr>
        <w:t>На территории охранной зоны допускается выполнять следующие работы:</w:t>
      </w:r>
    </w:p>
    <w:p>
      <w:pPr>
        <w:pStyle w:val="Default"/>
        <w:ind w:firstLine="709"/>
        <w:jc w:val="both"/>
        <w:rPr>
          <w:color w:val="00000A"/>
        </w:rPr>
      </w:pPr>
      <w:r>
        <w:rPr>
          <w:color w:val="00000A"/>
        </w:rPr>
        <w:t>- работы по воссозданию утраченных зданий и сооружений в границах исторического квартала реставрационными методами.</w:t>
      </w:r>
    </w:p>
    <w:p>
      <w:pPr>
        <w:pStyle w:val="Default"/>
        <w:ind w:firstLine="709"/>
        <w:jc w:val="both"/>
        <w:rPr>
          <w:color w:val="00000A"/>
        </w:rPr>
      </w:pPr>
      <w:r>
        <w:rPr>
          <w:color w:val="00000A"/>
        </w:rPr>
        <w:t>- работы по восстановлению (регенерации) историко-градостроительной и природной среды: воссоздание утраченных элементов исторического благоустройства, воссоздание утраченных малых архитектурных форм.</w:t>
      </w:r>
    </w:p>
    <w:p>
      <w:pPr>
        <w:pStyle w:val="Default"/>
        <w:ind w:firstLine="709"/>
        <w:jc w:val="both"/>
        <w:rPr>
          <w:color w:val="00000A"/>
        </w:rPr>
      </w:pPr>
      <w:r>
        <w:rPr>
          <w:color w:val="00000A"/>
        </w:rPr>
        <w:t>- Границы исторических домовладений подлежат сохранению и воссозданию.</w:t>
      </w:r>
    </w:p>
    <w:p>
      <w:pPr>
        <w:pStyle w:val="Default"/>
        <w:ind w:firstLine="709"/>
        <w:jc w:val="both"/>
        <w:rPr>
          <w:color w:val="00000A"/>
        </w:rPr>
      </w:pPr>
      <w:r>
        <w:rPr>
          <w:color w:val="00000A"/>
        </w:rPr>
        <w:t>- реставрация, консервация и ремонт объектов культурного наследия по заданию и разрешению, выданному уполномоченным органом охраны памятников.</w:t>
      </w:r>
    </w:p>
    <w:p>
      <w:pPr>
        <w:pStyle w:val="Default"/>
        <w:ind w:firstLine="709"/>
        <w:jc w:val="both"/>
        <w:rPr>
          <w:color w:val="00000A"/>
        </w:rPr>
      </w:pPr>
      <w:r>
        <w:rPr>
          <w:color w:val="00000A"/>
        </w:rPr>
        <w:t xml:space="preserve">- Исторически ценные градоформирующие объекты, расположенные на территории охранной зоны при проведении капитального ремонта или реконструкции должны быть предварительно обследованы с целью выявления ценных архитектурных элементов, подлежащих сохранению при ремонте и реконструкции. Снос здания и сооружений, отнесенных к исторически ценным градоформирующим объектам возможен при согласовании с уполномоченным органом охраны памятников в случае аварийного или предаварийного состояния конструкций. </w:t>
      </w:r>
    </w:p>
    <w:p>
      <w:pPr>
        <w:pStyle w:val="Default"/>
        <w:ind w:firstLine="709"/>
        <w:jc w:val="both"/>
        <w:rPr>
          <w:color w:val="00000A"/>
        </w:rPr>
      </w:pPr>
      <w:r>
        <w:rPr>
          <w:color w:val="00000A"/>
        </w:rPr>
        <w:t>- Прокладка и ремонт подземных инженерных коммуникаций.</w:t>
      </w:r>
    </w:p>
    <w:p>
      <w:pPr>
        <w:pStyle w:val="Default"/>
        <w:ind w:firstLine="709"/>
        <w:jc w:val="both"/>
        <w:rPr>
          <w:color w:val="00000A"/>
        </w:rPr>
      </w:pPr>
      <w:r>
        <w:rPr>
          <w:color w:val="00000A"/>
        </w:rPr>
        <w:t>- Работы по возведению временных сооружений необходимых для обеспечения жизнедеятельности объекта культурного наследия и его архитектурно-исторического окружения, выполненных по специальным проектам, согласованным с уполномоченным органом охраны памятников.</w:t>
      </w:r>
    </w:p>
    <w:p>
      <w:pPr>
        <w:pStyle w:val="Default"/>
        <w:ind w:firstLine="709"/>
        <w:jc w:val="both"/>
        <w:rPr>
          <w:color w:val="00000A"/>
        </w:rPr>
      </w:pPr>
      <w:r>
        <w:rPr>
          <w:color w:val="00000A"/>
        </w:rPr>
        <w:t>- Работы по обрезке, удалению деревьев и других зеленых насаждений с целью обеспечения наилучшего восприятия памятника.</w:t>
      </w:r>
    </w:p>
    <w:p>
      <w:pPr>
        <w:pStyle w:val="Default"/>
        <w:ind w:firstLine="709"/>
        <w:jc w:val="both"/>
        <w:rPr>
          <w:color w:val="00000A"/>
        </w:rPr>
      </w:pPr>
      <w:r>
        <w:rPr>
          <w:color w:val="00000A"/>
        </w:rPr>
        <w:t>- Работы по благоустройству территории, не нарушающие зоны наилучшего восприятия объекта, направленное на сохранение и восстановление градостроительных характеристик историко-градостроительной и природной среды, гидрологических и экологических условий, необходимых для обеспечения сохранности объекта культурного наследия.</w:t>
      </w:r>
    </w:p>
    <w:p>
      <w:pPr>
        <w:pStyle w:val="Default"/>
        <w:ind w:firstLine="709"/>
        <w:jc w:val="both"/>
        <w:rPr>
          <w:color w:val="00000A"/>
        </w:rPr>
      </w:pPr>
      <w:r>
        <w:rPr>
          <w:color w:val="00000A"/>
        </w:rPr>
        <w:t>- Установка наружного освещения, стендов и витрин, не закрывающих обзор на памятник.</w:t>
      </w:r>
    </w:p>
    <w:p>
      <w:pPr>
        <w:pStyle w:val="Default"/>
        <w:ind w:firstLine="709"/>
        <w:jc w:val="both"/>
        <w:rPr>
          <w:color w:val="00000A"/>
        </w:rPr>
      </w:pPr>
      <w:r>
        <w:rPr>
          <w:color w:val="00000A"/>
        </w:rPr>
        <w:t>- Устройство дорожных покрытий улиц и тротуаров.</w:t>
      </w:r>
    </w:p>
    <w:p>
      <w:pPr>
        <w:pStyle w:val="Default"/>
        <w:ind w:firstLine="709"/>
        <w:jc w:val="both"/>
        <w:rPr>
          <w:color w:val="00000A"/>
        </w:rPr>
      </w:pPr>
      <w:r>
        <w:rPr>
          <w:color w:val="00000A"/>
        </w:rPr>
        <w:t>На территории охранной зоны запрещается:</w:t>
      </w:r>
    </w:p>
    <w:p>
      <w:pPr>
        <w:pStyle w:val="Default"/>
        <w:ind w:firstLine="709"/>
        <w:jc w:val="both"/>
        <w:rPr>
          <w:color w:val="00000A"/>
        </w:rPr>
      </w:pPr>
      <w:r>
        <w:rPr>
          <w:color w:val="00000A"/>
        </w:rPr>
        <w:t>- строительство новых зданий и сооружений, кроме воссоздания утраченных исторических строений.</w:t>
      </w:r>
    </w:p>
    <w:p>
      <w:pPr>
        <w:pStyle w:val="Default"/>
        <w:ind w:firstLine="709"/>
        <w:jc w:val="both"/>
        <w:rPr>
          <w:color w:val="00000A"/>
        </w:rPr>
      </w:pPr>
      <w:r>
        <w:rPr>
          <w:color w:val="00000A"/>
        </w:rPr>
        <w:t>- устройство воздушных линий электропередач.</w:t>
      </w:r>
    </w:p>
    <w:p>
      <w:pPr>
        <w:pStyle w:val="Default"/>
        <w:ind w:firstLine="709"/>
        <w:jc w:val="both"/>
        <w:rPr>
          <w:color w:val="00000A"/>
        </w:rPr>
      </w:pPr>
      <w:r>
        <w:rPr>
          <w:color w:val="00000A"/>
        </w:rPr>
        <w:t>- размещение крупногабаритных рекламных конструкций и вывесок.</w:t>
      </w:r>
    </w:p>
    <w:p>
      <w:pPr>
        <w:pStyle w:val="Default"/>
        <w:ind w:firstLine="709"/>
        <w:jc w:val="both"/>
        <w:rPr>
          <w:color w:val="00000A"/>
        </w:rPr>
      </w:pPr>
      <w:r>
        <w:rPr>
          <w:color w:val="00000A"/>
        </w:rPr>
        <w:t>- размещение временных объектов, навесов, киосков и т.д, которые не относятся к обеспечению жизнедеятельности и эксплуатации объекта культурного наследия.</w:t>
      </w:r>
    </w:p>
    <w:p>
      <w:pPr>
        <w:pStyle w:val="Default"/>
        <w:ind w:firstLine="709"/>
        <w:jc w:val="both"/>
        <w:rPr>
          <w:color w:val="00000A"/>
        </w:rPr>
      </w:pPr>
      <w:r>
        <w:rPr>
          <w:color w:val="00000A"/>
        </w:rPr>
        <w:t xml:space="preserve">- использование территории и существующих зданий и сооружений для размещения пожароопасных и экологически вредных функций. </w:t>
      </w:r>
    </w:p>
    <w:p>
      <w:pPr>
        <w:pStyle w:val="Default"/>
        <w:ind w:firstLine="709"/>
        <w:jc w:val="both"/>
        <w:rPr>
          <w:color w:val="00000A"/>
        </w:rPr>
      </w:pPr>
      <w:r>
        <w:rPr>
          <w:color w:val="00000A"/>
        </w:rPr>
        <w:t>Не допускается распространение наружной рекламы на объектах культурного наследия, включенных в реестр, а также на их территориях, за исключением территорий достопримечательных мест. Данное требование не применяются в отношении распространения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театрально-зрелищных,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чем десять процентов рекламной площади (пространства).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 в случае распространения наружной рекламы, предусмотренной настоящим пунктом.</w:t>
      </w:r>
    </w:p>
    <w:p>
      <w:pPr>
        <w:pStyle w:val="Default"/>
        <w:ind w:firstLine="709"/>
        <w:jc w:val="both"/>
        <w:rPr>
          <w:color w:val="00000A"/>
        </w:rPr>
      </w:pPr>
      <w:r>
        <w:rPr>
          <w:color w:val="00000A"/>
        </w:rPr>
        <w:t>Запрет или ограничение распространения наружной рекламы на объектах культурного наследия, находящихся в границах территории достопримечательного места и включенных в реестр, а также требования к ее распространению устанавливаются соответствующим органом охраны объектов культурного наследия, определенным пунктом 7 статьи 47.6 Федерального закона от 25 июня 2002 г. № 73-ФЗ "Об объектах культурного наследия (памятниках истории и культуры) народов Российской Федерации".</w:t>
      </w:r>
    </w:p>
    <w:p>
      <w:pPr>
        <w:pStyle w:val="Default"/>
        <w:ind w:firstLine="709"/>
        <w:jc w:val="both"/>
        <w:rPr>
          <w:color w:val="00000A"/>
        </w:rPr>
      </w:pPr>
      <w:r>
        <w:rPr>
          <w:color w:val="00000A"/>
        </w:rPr>
        <w:t>Защитные зоны объектов культурного наследия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Федерального закона «Об объектах культурного наследия (памятниках истории и культуры) народов Российской Федерации» требования и ограничения.</w:t>
      </w:r>
    </w:p>
    <w:p>
      <w:pPr>
        <w:pStyle w:val="Default"/>
        <w:ind w:firstLine="709"/>
        <w:jc w:val="both"/>
        <w:rPr>
          <w:color w:val="00000A"/>
        </w:rPr>
      </w:pPr>
      <w:r>
        <w:rPr>
          <w:color w:val="00000A"/>
        </w:rPr>
        <w:t>Границы защитной зоны объекта культурного наследия устанавливаются:</w:t>
      </w:r>
    </w:p>
    <w:p>
      <w:pPr>
        <w:pStyle w:val="Default"/>
        <w:ind w:firstLine="709"/>
        <w:jc w:val="both"/>
        <w:rPr>
          <w:color w:val="00000A"/>
        </w:rPr>
      </w:pPr>
      <w:r>
        <w:rPr>
          <w:color w:val="00000A"/>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pPr>
        <w:pStyle w:val="Default"/>
        <w:ind w:firstLine="709"/>
        <w:jc w:val="both"/>
        <w:rPr>
          <w:color w:val="00000A"/>
        </w:rPr>
      </w:pPr>
      <w:r>
        <w:rPr>
          <w:color w:val="00000A"/>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pPr>
        <w:pStyle w:val="Default"/>
        <w:ind w:firstLine="709"/>
        <w:jc w:val="both"/>
        <w:rPr>
          <w:color w:val="00000A"/>
        </w:rPr>
      </w:pPr>
      <w:r>
        <w:rPr>
          <w:color w:val="00000A"/>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pPr>
        <w:pStyle w:val="Default"/>
        <w:ind w:firstLine="709"/>
        <w:jc w:val="both"/>
        <w:rPr>
          <w:color w:val="00000A"/>
        </w:rPr>
      </w:pPr>
      <w:r>
        <w:rPr>
          <w:color w:val="00000A"/>
        </w:rPr>
        <w:t>В границах защитной зоны в целях обеспечения сохранности объектов культурного наследия и композиционно-видовых связей (панорам) запрещается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pPr>
        <w:pStyle w:val="Normal"/>
        <w:keepNext/>
        <w:keepLines/>
        <w:widowControl w:val="false"/>
        <w:numPr>
          <w:ilvl w:val="0"/>
          <w:numId w:val="0"/>
        </w:numPr>
        <w:spacing w:lineRule="auto" w:line="240" w:before="0" w:after="0"/>
        <w:jc w:val="both"/>
        <w:outlineLvl w:val="1"/>
        <w:rPr>
          <w:rFonts w:ascii="Times New Roman" w:hAnsi="Times New Roman" w:eastAsia="Times New Roman" w:cs="Times New Roman"/>
          <w:b/>
          <w:b/>
          <w:bCs/>
          <w:i/>
          <w:i/>
          <w:sz w:val="24"/>
          <w:szCs w:val="24"/>
          <w:lang w:bidi="ru-RU"/>
        </w:rPr>
      </w:pPr>
      <w:bookmarkStart w:id="69" w:name="_Toc485621474"/>
      <w:bookmarkEnd w:id="69"/>
      <w:r>
        <w:rPr>
          <w:rFonts w:eastAsia="Times New Roman" w:cs="Times New Roman" w:ascii="Times New Roman" w:hAnsi="Times New Roman"/>
          <w:b/>
          <w:bCs/>
          <w:i/>
          <w:sz w:val="24"/>
          <w:szCs w:val="24"/>
          <w:lang w:bidi="ru-RU"/>
        </w:rPr>
        <w:t>Статья 48. Параметры допустимой площади озелененной территории земельных участков, относящихся ко всем территориальным зонам</w:t>
      </w:r>
    </w:p>
    <w:p>
      <w:pPr>
        <w:pStyle w:val="Default"/>
        <w:ind w:firstLine="709"/>
        <w:jc w:val="both"/>
        <w:rPr>
          <w:color w:val="00000A"/>
        </w:rPr>
      </w:pPr>
      <w:r>
        <w:rPr>
          <w:color w:val="00000A"/>
        </w:rPr>
        <w:t>1. К озеленённой территории земельного участка относятся части участков, которые не застроены объектами капитального строительства, не заняты временными сооружениями, водоёмами и акваториями, тротуарами или проездами с твёрдым покрытием и при этом покрыты зелёными насаждениями (древесной, кустарниковой и травянистой растительностью), доступными для всех пользователей объектов, расположенных на земельном участке.</w:t>
      </w:r>
    </w:p>
    <w:p>
      <w:pPr>
        <w:pStyle w:val="Default"/>
        <w:ind w:firstLine="709"/>
        <w:jc w:val="both"/>
        <w:rPr>
          <w:color w:val="00000A"/>
        </w:rPr>
      </w:pPr>
      <w:r>
        <w:rPr>
          <w:color w:val="00000A"/>
        </w:rPr>
        <w:t>2. Озеленённая территория земельного участка может быть оборудована: площадками для отдыха взрослых, детскими площадками, открытыми спортивными площадками, площадками для выгула собак, грунтовыми пешеходными дорожками, другими подобными объектами. Площадь, занимаемая объектами, которыми может быть оборудована озеленённая территория земельного участка, не должна превышать 50% площади озеленённой территории.</w:t>
      </w:r>
    </w:p>
    <w:p>
      <w:pPr>
        <w:pStyle w:val="Default"/>
        <w:ind w:firstLine="709"/>
        <w:jc w:val="both"/>
        <w:rPr>
          <w:color w:val="00000A"/>
        </w:rPr>
      </w:pPr>
      <w:r>
        <w:rPr>
          <w:color w:val="00000A"/>
        </w:rPr>
        <w:t>3. При совмещении на одном участке видов разрешённого использования с различными требованиями к озеленению процент озеленения определяется по виду использования с максимальным значением.</w:t>
      </w:r>
    </w:p>
    <w:p>
      <w:pPr>
        <w:pStyle w:val="Default"/>
        <w:ind w:firstLine="709"/>
        <w:jc w:val="both"/>
        <w:rPr>
          <w:color w:val="00000A"/>
        </w:rPr>
      </w:pPr>
      <w:r>
        <w:rPr>
          <w:color w:val="00000A"/>
        </w:rPr>
        <w:t>4. Требования к размерам и озеленению санитарно-защитных зон следует принимать в соответствии с требованиями технических регламентов и ч.7 ст.47.3 настоящих Правил значением.</w:t>
      </w:r>
    </w:p>
    <w:p>
      <w:pPr>
        <w:pStyle w:val="Default"/>
        <w:ind w:firstLine="709"/>
        <w:jc w:val="both"/>
        <w:rPr>
          <w:color w:val="00000A"/>
        </w:rPr>
      </w:pPr>
      <w:r>
        <w:rPr>
          <w:color w:val="00000A"/>
        </w:rPr>
        <w:t>4. Для объектов, не указанных в таблице, минимальная (максимальная) площадь озеленения определяется в соответствии с местными нормативами градостроительного проектирования, требованиями национальных стандартов и другими нормативными правовыми документами, заданием на проектирование объектов или по аналогии с видами объектов, указанными в таблице 2 настоящих Правил.</w:t>
      </w:r>
    </w:p>
    <w:p>
      <w:pPr>
        <w:pStyle w:val="Default"/>
        <w:ind w:firstLine="709"/>
        <w:jc w:val="right"/>
        <w:rPr>
          <w:color w:val="00000A"/>
        </w:rPr>
      </w:pPr>
      <w:r>
        <w:rPr>
          <w:b/>
          <w:bCs/>
          <w:color w:val="00000A"/>
        </w:rPr>
        <w:t xml:space="preserve">Таблица 2 </w:t>
      </w:r>
    </w:p>
    <w:tbl>
      <w:tblPr>
        <w:tblStyle w:val="af2"/>
        <w:tblW w:w="9752" w:type="dxa"/>
        <w:jc w:val="left"/>
        <w:tblInd w:w="-35" w:type="dxa"/>
        <w:tblCellMar>
          <w:top w:w="0" w:type="dxa"/>
          <w:left w:w="73" w:type="dxa"/>
          <w:bottom w:w="0" w:type="dxa"/>
          <w:right w:w="108" w:type="dxa"/>
        </w:tblCellMar>
        <w:tblLook w:firstRow="1" w:noVBand="1" w:lastRow="0" w:firstColumn="1" w:lastColumn="0" w:noHBand="0" w:val="04a0"/>
      </w:tblPr>
      <w:tblGrid>
        <w:gridCol w:w="896"/>
        <w:gridCol w:w="6045"/>
        <w:gridCol w:w="2811"/>
      </w:tblGrid>
      <w:tr>
        <w:trPr/>
        <w:tc>
          <w:tcPr>
            <w:tcW w:w="896" w:type="dxa"/>
            <w:tcBorders/>
            <w:shd w:fill="auto" w:val="clear"/>
            <w:tcMar>
              <w:left w:w="73" w:type="dxa"/>
            </w:tcMar>
          </w:tcPr>
          <w:p>
            <w:pPr>
              <w:pStyle w:val="Normal"/>
              <w:suppressAutoHyphens w:val="true"/>
              <w:spacing w:lineRule="auto" w:line="240" w:before="0" w:after="0"/>
              <w:ind w:firstLine="29"/>
              <w:jc w:val="center"/>
              <w:rPr>
                <w:rFonts w:ascii="Times New Roman" w:hAnsi="Times New Roman" w:cs="Times New Roman"/>
                <w:b/>
                <w:b/>
                <w:sz w:val="24"/>
                <w:szCs w:val="24"/>
              </w:rPr>
            </w:pPr>
            <w:r>
              <w:rPr>
                <w:rFonts w:cs="Times New Roman" w:ascii="Times New Roman" w:hAnsi="Times New Roman"/>
                <w:b/>
                <w:sz w:val="24"/>
                <w:szCs w:val="24"/>
              </w:rPr>
              <w:t>№</w:t>
            </w:r>
          </w:p>
          <w:p>
            <w:pPr>
              <w:pStyle w:val="Normal"/>
              <w:spacing w:lineRule="auto" w:line="240" w:before="0" w:after="0"/>
              <w:ind w:firstLine="29"/>
              <w:jc w:val="center"/>
              <w:rPr>
                <w:rFonts w:ascii="Times New Roman" w:hAnsi="Times New Roman" w:cs="Times New Roman"/>
                <w:b/>
                <w:b/>
                <w:sz w:val="24"/>
                <w:szCs w:val="24"/>
              </w:rPr>
            </w:pPr>
            <w:r>
              <w:rPr>
                <w:rFonts w:cs="Times New Roman" w:ascii="Times New Roman" w:hAnsi="Times New Roman"/>
                <w:b/>
                <w:sz w:val="24"/>
                <w:szCs w:val="24"/>
              </w:rPr>
              <w:t>п</w:t>
            </w:r>
            <w:r>
              <w:rPr>
                <w:rFonts w:cs="Times New Roman" w:ascii="Times New Roman" w:hAnsi="Times New Roman"/>
                <w:b/>
                <w:sz w:val="24"/>
                <w:szCs w:val="24"/>
                <w:lang w:val="en-US"/>
              </w:rPr>
              <w:t>/</w:t>
            </w:r>
            <w:r>
              <w:rPr>
                <w:rFonts w:cs="Times New Roman" w:ascii="Times New Roman" w:hAnsi="Times New Roman"/>
                <w:b/>
                <w:sz w:val="24"/>
                <w:szCs w:val="24"/>
              </w:rPr>
              <w:t>п</w:t>
            </w:r>
          </w:p>
        </w:tc>
        <w:tc>
          <w:tcPr>
            <w:tcW w:w="6045" w:type="dxa"/>
            <w:tcBorders/>
            <w:shd w:fill="auto" w:val="clear"/>
            <w:tcMar>
              <w:left w:w="73" w:type="dxa"/>
            </w:tcMar>
          </w:tcPr>
          <w:p>
            <w:pPr>
              <w:pStyle w:val="Normal"/>
              <w:suppressAutoHyphens w:val="true"/>
              <w:spacing w:lineRule="auto" w:line="240" w:before="0" w:after="0"/>
              <w:ind w:left="79" w:hanging="0"/>
              <w:jc w:val="center"/>
              <w:rPr>
                <w:rFonts w:ascii="Times New Roman" w:hAnsi="Times New Roman" w:cs="Times New Roman"/>
                <w:b/>
                <w:b/>
                <w:sz w:val="24"/>
                <w:szCs w:val="24"/>
              </w:rPr>
            </w:pPr>
            <w:r>
              <w:rPr>
                <w:rFonts w:cs="Times New Roman" w:ascii="Times New Roman" w:hAnsi="Times New Roman"/>
                <w:b/>
                <w:sz w:val="24"/>
                <w:szCs w:val="24"/>
              </w:rPr>
              <w:t>Вид использования</w:t>
            </w:r>
          </w:p>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r>
          </w:p>
        </w:tc>
        <w:tc>
          <w:tcPr>
            <w:tcW w:w="2811" w:type="dxa"/>
            <w:tcBorders/>
            <w:shd w:fill="auto" w:val="clear"/>
            <w:tcMar>
              <w:left w:w="73" w:type="dxa"/>
            </w:tcMar>
          </w:tcPr>
          <w:p>
            <w:pPr>
              <w:pStyle w:val="Normal"/>
              <w:spacing w:lineRule="auto" w:line="240" w:before="0" w:after="0"/>
              <w:ind w:hanging="5"/>
              <w:jc w:val="center"/>
              <w:rPr>
                <w:rFonts w:ascii="Times New Roman" w:hAnsi="Times New Roman" w:cs="Times New Roman"/>
                <w:b/>
                <w:b/>
                <w:sz w:val="24"/>
                <w:szCs w:val="24"/>
              </w:rPr>
            </w:pPr>
            <w:r>
              <w:rPr>
                <w:rFonts w:cs="Times New Roman" w:ascii="Times New Roman" w:hAnsi="Times New Roman"/>
                <w:b/>
                <w:sz w:val="24"/>
                <w:szCs w:val="24"/>
              </w:rPr>
              <w:t>Площадь озеленённой территории, %</w:t>
            </w:r>
          </w:p>
        </w:tc>
      </w:tr>
      <w:tr>
        <w:trPr/>
        <w:tc>
          <w:tcPr>
            <w:tcW w:w="896" w:type="dxa"/>
            <w:tcBorders/>
            <w:shd w:fill="auto" w:val="clear"/>
            <w:tcMar>
              <w:left w:w="73" w:type="dxa"/>
            </w:tcMar>
          </w:tcPr>
          <w:p>
            <w:pPr>
              <w:pStyle w:val="Normal"/>
              <w:spacing w:lineRule="auto" w:line="240" w:before="0" w:after="0"/>
              <w:ind w:firstLine="29"/>
              <w:jc w:val="center"/>
              <w:rPr>
                <w:rFonts w:ascii="Times New Roman" w:hAnsi="Times New Roman" w:cs="Times New Roman"/>
                <w:sz w:val="24"/>
                <w:szCs w:val="24"/>
              </w:rPr>
            </w:pPr>
            <w:r>
              <w:rPr>
                <w:rFonts w:cs="Times New Roman" w:ascii="Times New Roman" w:hAnsi="Times New Roman"/>
                <w:sz w:val="24"/>
                <w:szCs w:val="24"/>
              </w:rPr>
              <w:t>1</w:t>
            </w:r>
          </w:p>
        </w:tc>
        <w:tc>
          <w:tcPr>
            <w:tcW w:w="6045" w:type="dxa"/>
            <w:tcBorders/>
            <w:shd w:fill="auto" w:val="clear"/>
            <w:tcMar>
              <w:left w:w="73" w:type="dxa"/>
            </w:tcMar>
          </w:tcPr>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Индивидуальные жилые дома, садовые участки, дачи</w:t>
            </w:r>
          </w:p>
        </w:tc>
        <w:tc>
          <w:tcPr>
            <w:tcW w:w="2811" w:type="dxa"/>
            <w:tcBorders/>
            <w:shd w:fill="auto" w:val="clear"/>
            <w:tcMar>
              <w:left w:w="73" w:type="dxa"/>
            </w:tcMar>
          </w:tcPr>
          <w:p>
            <w:pPr>
              <w:pStyle w:val="Normal"/>
              <w:spacing w:lineRule="auto" w:line="240" w:before="0" w:after="0"/>
              <w:jc w:val="center"/>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40</w:t>
            </w:r>
          </w:p>
        </w:tc>
      </w:tr>
      <w:tr>
        <w:trPr/>
        <w:tc>
          <w:tcPr>
            <w:tcW w:w="896" w:type="dxa"/>
            <w:tcBorders/>
            <w:shd w:fill="auto" w:val="clear"/>
            <w:tcMar>
              <w:left w:w="73" w:type="dxa"/>
            </w:tcMar>
          </w:tcPr>
          <w:p>
            <w:pPr>
              <w:pStyle w:val="Normal"/>
              <w:spacing w:lineRule="auto" w:line="240" w:before="0" w:after="0"/>
              <w:ind w:firstLine="29"/>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2</w:t>
            </w:r>
          </w:p>
        </w:tc>
        <w:tc>
          <w:tcPr>
            <w:tcW w:w="6045"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Многоквартирные дома</w:t>
            </w:r>
          </w:p>
        </w:tc>
        <w:tc>
          <w:tcPr>
            <w:tcW w:w="2811" w:type="dxa"/>
            <w:tcBorders/>
            <w:shd w:fill="auto" w:val="clear"/>
            <w:tcMar>
              <w:left w:w="73" w:type="dxa"/>
            </w:tcMar>
          </w:tcPr>
          <w:p>
            <w:pPr>
              <w:pStyle w:val="Normal"/>
              <w:spacing w:lineRule="auto" w:line="240" w:before="0" w:after="0"/>
              <w:jc w:val="center"/>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25</w:t>
            </w:r>
          </w:p>
        </w:tc>
      </w:tr>
      <w:tr>
        <w:trPr/>
        <w:tc>
          <w:tcPr>
            <w:tcW w:w="896" w:type="dxa"/>
            <w:tcBorders/>
            <w:shd w:fill="auto" w:val="clear"/>
            <w:tcMar>
              <w:left w:w="73" w:type="dxa"/>
            </w:tcMar>
          </w:tcPr>
          <w:p>
            <w:pPr>
              <w:pStyle w:val="Normal"/>
              <w:spacing w:lineRule="auto" w:line="240" w:before="0" w:after="0"/>
              <w:ind w:firstLine="29"/>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w:t>
            </w:r>
          </w:p>
        </w:tc>
        <w:tc>
          <w:tcPr>
            <w:tcW w:w="6045"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Объекты образования: детские дошкольные и общеобразовательные учреждения</w:t>
            </w:r>
          </w:p>
        </w:tc>
        <w:tc>
          <w:tcPr>
            <w:tcW w:w="2811" w:type="dxa"/>
            <w:tcBorders/>
            <w:shd w:fill="auto" w:val="clear"/>
            <w:tcMar>
              <w:left w:w="73" w:type="dxa"/>
            </w:tcMar>
          </w:tcPr>
          <w:p>
            <w:pPr>
              <w:pStyle w:val="Normal"/>
              <w:spacing w:lineRule="auto" w:line="240" w:before="0" w:after="0"/>
              <w:jc w:val="center"/>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50</w:t>
            </w:r>
          </w:p>
        </w:tc>
      </w:tr>
      <w:tr>
        <w:trPr>
          <w:trHeight w:val="255" w:hRule="atLeast"/>
        </w:trPr>
        <w:tc>
          <w:tcPr>
            <w:tcW w:w="896" w:type="dxa"/>
            <w:tcBorders/>
            <w:shd w:fill="auto" w:val="clear"/>
            <w:tcMar>
              <w:left w:w="73" w:type="dxa"/>
            </w:tcMar>
          </w:tcPr>
          <w:p>
            <w:pPr>
              <w:pStyle w:val="Normal"/>
              <w:spacing w:lineRule="auto" w:line="240" w:before="0" w:after="0"/>
              <w:ind w:firstLine="29"/>
              <w:jc w:val="center"/>
              <w:rPr>
                <w:rFonts w:ascii="Times New Roman" w:hAnsi="Times New Roman" w:eastAsia="Tahoma" w:cs="Times New Roman"/>
                <w:sz w:val="24"/>
                <w:szCs w:val="24"/>
              </w:rPr>
            </w:pPr>
            <w:r>
              <w:rPr>
                <w:rFonts w:eastAsia="Tahoma" w:cs="Times New Roman" w:ascii="Times New Roman" w:hAnsi="Times New Roman"/>
                <w:sz w:val="24"/>
                <w:szCs w:val="24"/>
              </w:rPr>
              <w:t>4</w:t>
            </w:r>
          </w:p>
        </w:tc>
        <w:tc>
          <w:tcPr>
            <w:tcW w:w="6045"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Прочие объекты, в том числе производственные предприятия, за исключением коммунальных объектов, объектов сельскохозяйственного назначения, объектов транспорта</w:t>
            </w:r>
          </w:p>
        </w:tc>
        <w:tc>
          <w:tcPr>
            <w:tcW w:w="2811" w:type="dxa"/>
            <w:tcBorders/>
            <w:shd w:fill="auto" w:val="clear"/>
            <w:tcMar>
              <w:left w:w="73" w:type="dxa"/>
            </w:tcMar>
          </w:tcPr>
          <w:p>
            <w:pPr>
              <w:pStyle w:val="Normal"/>
              <w:spacing w:lineRule="auto" w:line="240" w:before="0" w:after="0"/>
              <w:jc w:val="center"/>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15</w:t>
            </w:r>
          </w:p>
        </w:tc>
      </w:tr>
      <w:tr>
        <w:trPr/>
        <w:tc>
          <w:tcPr>
            <w:tcW w:w="896" w:type="dxa"/>
            <w:tcBorders/>
            <w:shd w:fill="auto" w:val="clear"/>
            <w:tcMar>
              <w:left w:w="73" w:type="dxa"/>
            </w:tcMar>
          </w:tcPr>
          <w:p>
            <w:pPr>
              <w:pStyle w:val="Normal"/>
              <w:spacing w:lineRule="auto" w:line="240" w:before="0" w:after="0"/>
              <w:ind w:firstLine="29"/>
              <w:jc w:val="center"/>
              <w:rPr>
                <w:rFonts w:ascii="Times New Roman" w:hAnsi="Times New Roman" w:eastAsia="Tahoma" w:cs="Times New Roman"/>
                <w:sz w:val="24"/>
                <w:szCs w:val="24"/>
              </w:rPr>
            </w:pPr>
            <w:r>
              <w:rPr>
                <w:rFonts w:eastAsia="Tahoma" w:cs="Times New Roman" w:ascii="Times New Roman" w:hAnsi="Times New Roman"/>
                <w:sz w:val="24"/>
                <w:szCs w:val="24"/>
              </w:rPr>
              <w:t>5</w:t>
            </w:r>
          </w:p>
        </w:tc>
        <w:tc>
          <w:tcPr>
            <w:tcW w:w="6045"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Коммунальные объекты, объекты сельскохозяйственного назначения, объекты транспорта</w:t>
            </w:r>
          </w:p>
        </w:tc>
        <w:tc>
          <w:tcPr>
            <w:tcW w:w="2811" w:type="dxa"/>
            <w:tcBorders/>
            <w:shd w:fill="auto" w:val="clear"/>
            <w:tcMar>
              <w:left w:w="73" w:type="dxa"/>
            </w:tcMar>
          </w:tcPr>
          <w:p>
            <w:pPr>
              <w:pStyle w:val="Normal"/>
              <w:spacing w:lineRule="auto" w:line="240" w:before="0" w:after="0"/>
              <w:jc w:val="center"/>
              <w:rPr>
                <w:rFonts w:ascii="Times New Roman" w:hAnsi="Times New Roman" w:cs="Times New Roman"/>
                <w:sz w:val="24"/>
                <w:szCs w:val="24"/>
              </w:rPr>
            </w:pPr>
            <w:r>
              <w:rPr>
                <w:rFonts w:cs="Times New Roman" w:ascii="Times New Roman" w:hAnsi="Times New Roman"/>
                <w:sz w:val="24"/>
                <w:szCs w:val="24"/>
              </w:rPr>
              <w:t>не подлежат ограничению</w:t>
            </w:r>
          </w:p>
        </w:tc>
      </w:tr>
      <w:tr>
        <w:trPr/>
        <w:tc>
          <w:tcPr>
            <w:tcW w:w="896" w:type="dxa"/>
            <w:tcBorders/>
            <w:shd w:fill="auto" w:val="clear"/>
            <w:tcMar>
              <w:left w:w="73" w:type="dxa"/>
            </w:tcMar>
          </w:tcPr>
          <w:p>
            <w:pPr>
              <w:pStyle w:val="Normal"/>
              <w:spacing w:lineRule="auto" w:line="240" w:before="0" w:after="0"/>
              <w:ind w:firstLine="29"/>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6</w:t>
            </w:r>
          </w:p>
        </w:tc>
        <w:tc>
          <w:tcPr>
            <w:tcW w:w="6045"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Скверы, парки, сады, бульвары, зоны отдыха</w:t>
            </w:r>
          </w:p>
        </w:tc>
        <w:tc>
          <w:tcPr>
            <w:tcW w:w="2811" w:type="dxa"/>
            <w:tcBorders/>
            <w:shd w:fill="auto" w:val="clear"/>
            <w:tcMar>
              <w:left w:w="73" w:type="dxa"/>
            </w:tcMar>
          </w:tcPr>
          <w:p>
            <w:pPr>
              <w:pStyle w:val="Normal"/>
              <w:spacing w:lineRule="auto" w:line="240" w:before="0" w:after="0"/>
              <w:jc w:val="center"/>
              <w:rPr>
                <w:rFonts w:ascii="Times New Roman" w:hAnsi="Times New Roman" w:cs="Times New Roman"/>
                <w:sz w:val="24"/>
                <w:szCs w:val="24"/>
              </w:rPr>
            </w:pPr>
            <w:r>
              <w:rPr>
                <w:rFonts w:cs="Times New Roman" w:ascii="Times New Roman" w:hAnsi="Times New Roman"/>
                <w:sz w:val="24"/>
                <w:szCs w:val="24"/>
              </w:rPr>
              <w:t xml:space="preserve">в соответствии с местными нормативами градостроительного проектирования </w:t>
            </w:r>
          </w:p>
        </w:tc>
      </w:tr>
    </w:tbl>
    <w:p>
      <w:pPr>
        <w:pStyle w:val="Normal"/>
        <w:keepNext/>
        <w:keepLines/>
        <w:widowControl w:val="false"/>
        <w:numPr>
          <w:ilvl w:val="0"/>
          <w:numId w:val="0"/>
        </w:numPr>
        <w:spacing w:lineRule="auto" w:line="240" w:before="0" w:after="0"/>
        <w:outlineLvl w:val="1"/>
        <w:rPr>
          <w:rFonts w:ascii="Times New Roman" w:hAnsi="Times New Roman" w:eastAsia="Times New Roman" w:cs="Times New Roman"/>
          <w:b/>
          <w:b/>
          <w:bCs/>
          <w:i/>
          <w:i/>
          <w:sz w:val="24"/>
          <w:szCs w:val="24"/>
          <w:lang w:bidi="ru-RU"/>
        </w:rPr>
      </w:pPr>
      <w:r>
        <w:rPr>
          <w:rFonts w:eastAsia="Times New Roman" w:cs="Times New Roman" w:ascii="Times New Roman" w:hAnsi="Times New Roman"/>
          <w:b/>
          <w:bCs/>
          <w:i/>
          <w:sz w:val="24"/>
          <w:szCs w:val="24"/>
          <w:lang w:bidi="ru-RU"/>
        </w:rPr>
      </w:r>
    </w:p>
    <w:p>
      <w:pPr>
        <w:pStyle w:val="Normal"/>
        <w:keepNext/>
        <w:keepLines/>
        <w:widowControl w:val="false"/>
        <w:numPr>
          <w:ilvl w:val="0"/>
          <w:numId w:val="0"/>
        </w:numPr>
        <w:ind w:firstLine="567"/>
        <w:outlineLvl w:val="0"/>
        <w:rPr>
          <w:rFonts w:ascii="Times New Roman" w:hAnsi="Times New Roman" w:eastAsia="Times New Roman" w:cs="Times New Roman"/>
          <w:b/>
          <w:b/>
          <w:bCs/>
          <w:sz w:val="24"/>
          <w:szCs w:val="24"/>
          <w:lang w:bidi="ru-RU"/>
        </w:rPr>
      </w:pPr>
      <w:bookmarkStart w:id="70" w:name="_Toc485621475"/>
      <w:bookmarkStart w:id="71" w:name="bookmark54"/>
      <w:bookmarkStart w:id="72" w:name="bookmark55"/>
      <w:bookmarkStart w:id="73" w:name="_Toc437075952"/>
      <w:bookmarkStart w:id="74" w:name="_Toc437075999"/>
      <w:bookmarkStart w:id="75" w:name="_Toc484865782"/>
      <w:bookmarkEnd w:id="70"/>
      <w:bookmarkEnd w:id="71"/>
      <w:bookmarkEnd w:id="72"/>
      <w:bookmarkEnd w:id="73"/>
      <w:bookmarkEnd w:id="74"/>
      <w:bookmarkEnd w:id="75"/>
      <w:r>
        <w:rPr>
          <w:rFonts w:eastAsia="Times New Roman" w:cs="Times New Roman" w:ascii="Times New Roman" w:hAnsi="Times New Roman"/>
          <w:b/>
          <w:bCs/>
          <w:sz w:val="24"/>
          <w:szCs w:val="24"/>
          <w:lang w:bidi="ru-RU"/>
        </w:rPr>
        <w:t>ЖИЛЫЕ ЗОНЫ</w:t>
      </w:r>
    </w:p>
    <w:p>
      <w:pPr>
        <w:pStyle w:val="Normal"/>
        <w:keepNext/>
        <w:keepLines/>
        <w:widowControl w:val="false"/>
        <w:numPr>
          <w:ilvl w:val="0"/>
          <w:numId w:val="0"/>
        </w:numPr>
        <w:spacing w:lineRule="auto" w:line="240" w:before="0" w:after="0"/>
        <w:outlineLvl w:val="1"/>
        <w:rPr>
          <w:rFonts w:ascii="Times New Roman" w:hAnsi="Times New Roman" w:eastAsia="Times New Roman" w:cs="Times New Roman"/>
          <w:b/>
          <w:b/>
          <w:bCs/>
          <w:i/>
          <w:i/>
          <w:sz w:val="24"/>
          <w:szCs w:val="24"/>
          <w:lang w:bidi="ru-RU"/>
        </w:rPr>
      </w:pPr>
      <w:bookmarkStart w:id="76" w:name="bookmark56"/>
      <w:bookmarkStart w:id="77" w:name="bookmark57"/>
      <w:bookmarkStart w:id="78" w:name="_Toc437075953"/>
      <w:bookmarkStart w:id="79" w:name="_Toc437076000"/>
      <w:bookmarkStart w:id="80" w:name="_Toc484865783"/>
      <w:bookmarkStart w:id="81" w:name="_Toc485621476"/>
      <w:bookmarkEnd w:id="76"/>
      <w:bookmarkEnd w:id="77"/>
      <w:bookmarkEnd w:id="78"/>
      <w:bookmarkEnd w:id="79"/>
      <w:bookmarkEnd w:id="80"/>
      <w:bookmarkEnd w:id="81"/>
      <w:r>
        <w:rPr>
          <w:rFonts w:eastAsia="Times New Roman" w:cs="Times New Roman" w:ascii="Times New Roman" w:hAnsi="Times New Roman"/>
          <w:b/>
          <w:bCs/>
          <w:i/>
          <w:sz w:val="24"/>
          <w:szCs w:val="24"/>
          <w:lang w:bidi="ru-RU"/>
        </w:rPr>
        <w:t>Статья 49. Ж-1. Зона застройки индивидуальными усадебными жилыми домами (не более 3 этажей)</w:t>
      </w:r>
    </w:p>
    <w:p>
      <w:pPr>
        <w:pStyle w:val="Normal"/>
        <w:widowControl w:val="false"/>
        <w:tabs>
          <w:tab w:val="left" w:pos="567" w:leader="none"/>
        </w:tabs>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выделена для обеспечения правовых условий формирования жилых районов из индивидуальных жилых домов, а также блокированных жилых домов.</w:t>
      </w:r>
    </w:p>
    <w:p>
      <w:pPr>
        <w:pStyle w:val="Normal"/>
        <w:widowControl w:val="false"/>
        <w:tabs>
          <w:tab w:val="left" w:pos="567" w:leader="none"/>
        </w:tabs>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 зоне допускается размещение отдельно стоящих, встроенных или пристроенных объектов социальной инфраструктуры и социального обслуживания, коммунально-бытового назначения, объектов здравоохранения, объектов образования, гаражей и стоянок автомобилей, объектов физической культуры и спорта.</w:t>
      </w:r>
    </w:p>
    <w:p>
      <w:pPr>
        <w:pStyle w:val="Normal"/>
        <w:spacing w:lineRule="auto" w:line="240" w:before="0" w:after="0"/>
        <w:ind w:firstLine="567"/>
        <w:jc w:val="both"/>
        <w:rPr>
          <w:rFonts w:ascii="Times New Roman" w:hAnsi="Times New Roman" w:cs="Times New Roman"/>
          <w:b/>
          <w:b/>
          <w:sz w:val="24"/>
          <w:szCs w:val="24"/>
        </w:rPr>
      </w:pPr>
      <w:bookmarkStart w:id="82" w:name="_Toc452106980"/>
      <w:bookmarkEnd w:id="82"/>
      <w:r>
        <w:rPr>
          <w:rFonts w:cs="Times New Roman" w:ascii="Times New Roman" w:hAnsi="Times New Roman"/>
          <w:b/>
          <w:sz w:val="24"/>
          <w:szCs w:val="24"/>
        </w:rPr>
        <w:t>Виды разрешенного использования земельных участков и объектов капитального строительства.</w:t>
      </w:r>
    </w:p>
    <w:tbl>
      <w:tblPr>
        <w:tblStyle w:val="af2"/>
        <w:tblW w:w="9060" w:type="dxa"/>
        <w:jc w:val="left"/>
        <w:tblInd w:w="-35" w:type="dxa"/>
        <w:tblCellMar>
          <w:top w:w="0" w:type="dxa"/>
          <w:left w:w="73" w:type="dxa"/>
          <w:bottom w:w="0" w:type="dxa"/>
          <w:right w:w="108" w:type="dxa"/>
        </w:tblCellMar>
        <w:tblLook w:firstRow="1" w:noVBand="1" w:lastRow="0" w:firstColumn="1" w:lastColumn="0" w:noHBand="0" w:val="04a0"/>
      </w:tblPr>
      <w:tblGrid>
        <w:gridCol w:w="7238"/>
        <w:gridCol w:w="1821"/>
      </w:tblGrid>
      <w:tr>
        <w:trPr/>
        <w:tc>
          <w:tcPr>
            <w:tcW w:w="723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Код</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7238" w:type="dxa"/>
            <w:tcBorders/>
            <w:shd w:fill="auto" w:val="clear"/>
            <w:tcMar>
              <w:left w:w="73" w:type="dxa"/>
            </w:tcMar>
          </w:tcPr>
          <w:p>
            <w:pPr>
              <w:pStyle w:val="Normal"/>
              <w:spacing w:lineRule="auto" w:line="240" w:before="0" w:after="0"/>
              <w:ind w:firstLine="567"/>
              <w:jc w:val="both"/>
              <w:rPr>
                <w:rFonts w:ascii="Times New Roman" w:hAnsi="Times New Roman" w:cs="Times New Roman"/>
                <w:b/>
                <w:b/>
                <w:sz w:val="24"/>
                <w:szCs w:val="24"/>
              </w:rPr>
            </w:pPr>
            <w:r>
              <w:rPr>
                <w:rFonts w:eastAsia="Times New Roman" w:cs="Times New Roman" w:ascii="Times New Roman" w:hAnsi="Times New Roman"/>
                <w:sz w:val="24"/>
                <w:szCs w:val="24"/>
                <w:lang w:bidi="ru-RU"/>
              </w:rPr>
              <w:t>Для индивидуального жилищного строительства</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2.1</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Малоэтажная многоквартирная жилая </w:t>
            </w:r>
            <w:r>
              <w:rPr>
                <w:rFonts w:eastAsia="Times New Roman" w:cs="Times New Roman" w:ascii="Times New Roman" w:hAnsi="Times New Roman"/>
                <w:sz w:val="24"/>
                <w:szCs w:val="24"/>
              </w:rPr>
              <w:t>застройка</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2.1.1</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Для ведения личного </w:t>
            </w:r>
            <w:r>
              <w:rPr>
                <w:rFonts w:eastAsia="Times New Roman" w:cs="Times New Roman" w:ascii="Times New Roman" w:hAnsi="Times New Roman"/>
                <w:sz w:val="24"/>
                <w:szCs w:val="24"/>
              </w:rPr>
              <w:t>подсобного хозяйства</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2.2</w:t>
            </w:r>
          </w:p>
        </w:tc>
      </w:tr>
      <w:tr>
        <w:trPr>
          <w:trHeight w:val="255" w:hRule="atLeast"/>
        </w:trPr>
        <w:tc>
          <w:tcPr>
            <w:tcW w:w="7238"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imes New Roman" w:cs="Times New Roman" w:ascii="Times New Roman" w:hAnsi="Times New Roman"/>
                <w:sz w:val="24"/>
                <w:szCs w:val="24"/>
                <w:lang w:bidi="ru-RU"/>
              </w:rPr>
              <w:t>Блокированная жилая застройка</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2.3</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imes New Roman" w:cs="Times New Roman" w:ascii="Times New Roman" w:hAnsi="Times New Roman"/>
                <w:sz w:val="24"/>
                <w:szCs w:val="24"/>
                <w:lang w:bidi="ru-RU"/>
              </w:rPr>
              <w:t>Передвижное жилье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2.4</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Коммунальное обслуживание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3.1</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Социальное обслуживание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3.2</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Бытовое обслуживание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3.3</w:t>
            </w:r>
          </w:p>
        </w:tc>
      </w:tr>
      <w:tr>
        <w:trPr/>
        <w:tc>
          <w:tcPr>
            <w:tcW w:w="723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Амбулаторно-поликлиническое обслуживание</w:t>
            </w:r>
          </w:p>
        </w:tc>
        <w:tc>
          <w:tcPr>
            <w:tcW w:w="1821"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3.4.1</w:t>
            </w:r>
          </w:p>
        </w:tc>
      </w:tr>
      <w:tr>
        <w:trPr/>
        <w:tc>
          <w:tcPr>
            <w:tcW w:w="723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Дошкольное, начальное и среднее общее образование</w:t>
            </w:r>
          </w:p>
        </w:tc>
        <w:tc>
          <w:tcPr>
            <w:tcW w:w="1821"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3.5.1</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Религиозное использование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3.7</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Общественное управление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3.8</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Деловое управление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4.1</w:t>
            </w:r>
          </w:p>
        </w:tc>
      </w:tr>
      <w:tr>
        <w:trPr/>
        <w:tc>
          <w:tcPr>
            <w:tcW w:w="723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Магазины</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lang w:val="en-US"/>
              </w:rPr>
            </w:pPr>
            <w:r>
              <w:rPr>
                <w:rFonts w:cs="Times New Roman" w:ascii="Times New Roman" w:hAnsi="Times New Roman"/>
                <w:sz w:val="24"/>
                <w:szCs w:val="24"/>
                <w:lang w:val="en-US"/>
              </w:rPr>
              <w:t>4.4</w:t>
            </w:r>
          </w:p>
        </w:tc>
      </w:tr>
      <w:tr>
        <w:trPr/>
        <w:tc>
          <w:tcPr>
            <w:tcW w:w="723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Общественное питание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4.6</w:t>
            </w:r>
          </w:p>
        </w:tc>
      </w:tr>
      <w:tr>
        <w:trPr/>
        <w:tc>
          <w:tcPr>
            <w:tcW w:w="723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1821"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7.2</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Земельные участки (территории) общего пользования</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12.0</w:t>
            </w:r>
          </w:p>
        </w:tc>
      </w:tr>
      <w:tr>
        <w:trPr/>
        <w:tc>
          <w:tcPr>
            <w:tcW w:w="7238" w:type="dxa"/>
            <w:tcBorders>
              <w:top w:val="nil"/>
            </w:tcBorders>
            <w:shd w:fill="auto" w:val="clear"/>
            <w:tcMar>
              <w:left w:w="73" w:type="dxa"/>
            </w:tcMar>
          </w:tcPr>
          <w:p>
            <w:pPr>
              <w:pStyle w:val="Normal"/>
              <w:spacing w:lineRule="auto" w:line="240" w:before="0" w:after="0"/>
              <w:ind w:firstLine="567"/>
              <w:rPr>
                <w:rFonts w:ascii="Times New Roman" w:hAnsi="Times New Roman"/>
              </w:rPr>
            </w:pPr>
            <w:r>
              <w:rPr>
                <w:rFonts w:ascii="Times New Roman" w:hAnsi="Times New Roman"/>
                <w:sz w:val="24"/>
                <w:szCs w:val="24"/>
              </w:rPr>
              <w:t>Садоводство</w:t>
            </w:r>
          </w:p>
        </w:tc>
        <w:tc>
          <w:tcPr>
            <w:tcW w:w="1821" w:type="dxa"/>
            <w:tcBorders>
              <w:top w:val="nil"/>
            </w:tcBorders>
            <w:shd w:fill="auto" w:val="clear"/>
            <w:tcMar>
              <w:left w:w="73" w:type="dxa"/>
            </w:tcMar>
          </w:tcPr>
          <w:p>
            <w:pPr>
              <w:pStyle w:val="Normal"/>
              <w:spacing w:lineRule="auto" w:line="240" w:before="0" w:after="0"/>
              <w:ind w:firstLine="567"/>
              <w:jc w:val="center"/>
              <w:rPr>
                <w:rFonts w:ascii="Times New Roman" w:hAnsi="Times New Roman"/>
              </w:rPr>
            </w:pPr>
            <w:r>
              <w:rPr>
                <w:rFonts w:ascii="Times New Roman" w:hAnsi="Times New Roman"/>
                <w:sz w:val="24"/>
                <w:szCs w:val="24"/>
              </w:rPr>
              <w:t>1.5</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Среднеэтажная жилая застройка</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2.5</w:t>
            </w:r>
          </w:p>
        </w:tc>
      </w:tr>
      <w:tr>
        <w:trPr/>
        <w:tc>
          <w:tcPr>
            <w:tcW w:w="723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Банковская и страховая деятельность</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4.5</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Пищевая промышленность</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6.4</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Ведение огородничества</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13.1</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Объекты гаражного </w:t>
            </w:r>
            <w:r>
              <w:rPr>
                <w:rFonts w:eastAsia="Times New Roman" w:cs="Times New Roman" w:ascii="Times New Roman" w:hAnsi="Times New Roman"/>
                <w:sz w:val="24"/>
                <w:szCs w:val="24"/>
              </w:rPr>
              <w:t>назначения</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2.7.1</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Обслуживание автотранспорта</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4.9</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Спорт</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5.1</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1.Предельные (минимальные и (или) максимальные) размеры земельных участков, в том числе их площадь:</w:t>
      </w:r>
    </w:p>
    <w:tbl>
      <w:tblPr>
        <w:tblStyle w:val="af2"/>
        <w:tblW w:w="9060" w:type="dxa"/>
        <w:jc w:val="left"/>
        <w:tblInd w:w="-35" w:type="dxa"/>
        <w:tblCellMar>
          <w:top w:w="0" w:type="dxa"/>
          <w:left w:w="73" w:type="dxa"/>
          <w:bottom w:w="0" w:type="dxa"/>
          <w:right w:w="108" w:type="dxa"/>
        </w:tblCellMar>
        <w:tblLook w:firstRow="1" w:noVBand="1" w:lastRow="0" w:firstColumn="1" w:lastColumn="0" w:noHBand="0" w:val="04a0"/>
      </w:tblPr>
      <w:tblGrid>
        <w:gridCol w:w="4814"/>
        <w:gridCol w:w="4245"/>
      </w:tblGrid>
      <w:tr>
        <w:trPr/>
        <w:tc>
          <w:tcPr>
            <w:tcW w:w="4814"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4245"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Предельные размеры земельных участков (мин.-макс.), кв.м</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4814" w:type="dxa"/>
            <w:tcBorders/>
            <w:shd w:color="auto" w:fill="auto" w:val="clear"/>
            <w:tcMar>
              <w:left w:w="73" w:type="dxa"/>
            </w:tcMar>
          </w:tcPr>
          <w:p>
            <w:pPr>
              <w:pStyle w:val="Normal"/>
              <w:spacing w:lineRule="auto" w:line="240" w:before="0" w:after="0"/>
              <w:ind w:firstLine="567"/>
              <w:jc w:val="both"/>
              <w:rPr>
                <w:rFonts w:ascii="Times New Roman" w:hAnsi="Times New Roman" w:cs="Times New Roman"/>
                <w:b/>
                <w:b/>
                <w:sz w:val="24"/>
                <w:szCs w:val="24"/>
              </w:rPr>
            </w:pPr>
            <w:r>
              <w:rPr>
                <w:rFonts w:eastAsia="Times New Roman" w:cs="Times New Roman" w:ascii="Times New Roman" w:hAnsi="Times New Roman"/>
                <w:sz w:val="24"/>
                <w:szCs w:val="24"/>
                <w:lang w:bidi="ru-RU"/>
              </w:rPr>
              <w:t>Для индивидуального жилищного строительства</w:t>
            </w:r>
          </w:p>
        </w:tc>
        <w:tc>
          <w:tcPr>
            <w:tcW w:w="4245" w:type="dxa"/>
            <w:tcBorders/>
            <w:shd w:color="auto" w:fill="auto" w:val="clear"/>
            <w:tcMar>
              <w:left w:w="73" w:type="dxa"/>
            </w:tcMar>
          </w:tcPr>
          <w:p>
            <w:pPr>
              <w:pStyle w:val="Normal"/>
              <w:spacing w:lineRule="auto" w:line="240" w:before="0" w:after="0"/>
              <w:jc w:val="both"/>
              <w:rPr/>
            </w:pPr>
            <w:r>
              <w:rPr>
                <w:rFonts w:eastAsia="Tahoma" w:cs="Times New Roman" w:ascii="Times New Roman" w:hAnsi="Times New Roman"/>
                <w:sz w:val="24"/>
                <w:szCs w:val="24"/>
              </w:rPr>
              <w:t>Минимальный размер земельного участка 1000 кв.м, максимальный размер земельного участка 3000 кв.м</w:t>
            </w:r>
            <w:r>
              <w:rPr>
                <w:rFonts w:cs="Times New Roman" w:ascii="Times New Roman" w:hAnsi="Times New Roman"/>
                <w:sz w:val="24"/>
                <w:szCs w:val="24"/>
              </w:rPr>
              <w:t xml:space="preserve"> </w:t>
            </w:r>
          </w:p>
        </w:tc>
      </w:tr>
      <w:tr>
        <w:trPr/>
        <w:tc>
          <w:tcPr>
            <w:tcW w:w="4814" w:type="dxa"/>
            <w:tcBorders/>
            <w:shd w:color="auto"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Малоэтажная многоквартирная жилая </w:t>
            </w:r>
            <w:r>
              <w:rPr>
                <w:rFonts w:eastAsia="Times New Roman" w:cs="Times New Roman" w:ascii="Times New Roman" w:hAnsi="Times New Roman"/>
                <w:sz w:val="24"/>
                <w:szCs w:val="24"/>
              </w:rPr>
              <w:t>застройка</w:t>
            </w:r>
          </w:p>
        </w:tc>
        <w:tc>
          <w:tcPr>
            <w:tcW w:w="4245" w:type="dxa"/>
            <w:tcBorders/>
            <w:shd w:color="auto" w:fill="auto" w:val="clear"/>
            <w:tcMar>
              <w:left w:w="7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Минимальная площадь земельного участка жилого дома малоэтажная многоквартирная жилая застройка из расчета 17,3 кв. м на 1 чел. при уплотнении существующей застройки 11,7 кв. м на 1 чел. в проектируемой застройке</w:t>
            </w:r>
          </w:p>
        </w:tc>
      </w:tr>
      <w:tr>
        <w:trPr/>
        <w:tc>
          <w:tcPr>
            <w:tcW w:w="4814" w:type="dxa"/>
            <w:tcBorders/>
            <w:shd w:color="auto"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Для ведения личного </w:t>
            </w:r>
            <w:r>
              <w:rPr>
                <w:rFonts w:eastAsia="Times New Roman" w:cs="Times New Roman" w:ascii="Times New Roman" w:hAnsi="Times New Roman"/>
                <w:sz w:val="24"/>
                <w:szCs w:val="24"/>
              </w:rPr>
              <w:t>подсобного хозяйства</w:t>
            </w:r>
          </w:p>
        </w:tc>
        <w:tc>
          <w:tcPr>
            <w:tcW w:w="4245" w:type="dxa"/>
            <w:tcBorders/>
            <w:shd w:color="auto" w:fill="auto" w:val="clear"/>
            <w:tcMar>
              <w:left w:w="73" w:type="dxa"/>
            </w:tcMar>
          </w:tcPr>
          <w:p>
            <w:pPr>
              <w:pStyle w:val="Normal"/>
              <w:spacing w:lineRule="auto" w:line="240" w:before="0" w:after="0"/>
              <w:jc w:val="both"/>
              <w:rPr/>
            </w:pPr>
            <w:r>
              <w:rPr>
                <w:rFonts w:eastAsia="Tahoma" w:cs="Times New Roman" w:ascii="Times New Roman" w:hAnsi="Times New Roman"/>
                <w:sz w:val="24"/>
                <w:szCs w:val="24"/>
              </w:rPr>
              <w:t>Минимальный размер земельного участка 1000 кв.м, максимальный размер земельного участка 3000 кв.м</w:t>
            </w:r>
          </w:p>
        </w:tc>
      </w:tr>
      <w:tr>
        <w:trPr>
          <w:trHeight w:val="255" w:hRule="atLeast"/>
        </w:trPr>
        <w:tc>
          <w:tcPr>
            <w:tcW w:w="4814" w:type="dxa"/>
            <w:tcBorders/>
            <w:shd w:color="auto"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imes New Roman" w:cs="Times New Roman" w:ascii="Times New Roman" w:hAnsi="Times New Roman"/>
                <w:sz w:val="24"/>
                <w:szCs w:val="24"/>
                <w:lang w:bidi="ru-RU"/>
              </w:rPr>
              <w:t>Блокированная жилая застройка</w:t>
            </w:r>
          </w:p>
        </w:tc>
        <w:tc>
          <w:tcPr>
            <w:tcW w:w="4245" w:type="dxa"/>
            <w:tcBorders/>
            <w:shd w:color="auto" w:fill="auto" w:val="clear"/>
            <w:tcMar>
              <w:left w:w="73" w:type="dxa"/>
            </w:tcMar>
          </w:tcPr>
          <w:p>
            <w:pPr>
              <w:pStyle w:val="Normal"/>
              <w:spacing w:lineRule="auto" w:line="240" w:before="0" w:after="0"/>
              <w:jc w:val="both"/>
              <w:rPr>
                <w:rFonts w:ascii="Times New Roman" w:hAnsi="Times New Roman" w:eastAsia="Times New Roman" w:cs="Times New Roman"/>
                <w:sz w:val="24"/>
                <w:szCs w:val="24"/>
                <w:lang w:bidi="hi-IN"/>
              </w:rPr>
            </w:pPr>
            <w:r>
              <w:rPr>
                <w:rFonts w:eastAsia="Tahoma" w:cs="Times New Roman" w:ascii="Times New Roman" w:hAnsi="Times New Roman"/>
                <w:sz w:val="24"/>
                <w:szCs w:val="24"/>
                <w:lang w:bidi="ru-RU"/>
              </w:rPr>
              <w:t xml:space="preserve">Минимальный размер земельного участка в сложившейся застройке </w:t>
            </w:r>
            <w:r>
              <w:rPr>
                <w:rFonts w:eastAsia="Times New Roman" w:cs="Times New Roman" w:ascii="Times New Roman" w:hAnsi="Times New Roman"/>
                <w:sz w:val="24"/>
                <w:szCs w:val="24"/>
                <w:lang w:bidi="hi-IN"/>
              </w:rPr>
              <w:t xml:space="preserve"> блокированного и коттеджного типа для одного блока коттеджа 300 </w:t>
            </w:r>
            <w:r>
              <w:rPr>
                <w:rFonts w:eastAsia="Tahoma" w:cs="Times New Roman" w:ascii="Times New Roman" w:hAnsi="Times New Roman"/>
                <w:sz w:val="24"/>
                <w:szCs w:val="24"/>
              </w:rPr>
              <w:t>м</w:t>
            </w:r>
            <w:r>
              <w:rPr>
                <w:rFonts w:eastAsia="Tahoma" w:cs="Times New Roman" w:ascii="Times New Roman" w:hAnsi="Times New Roman"/>
                <w:sz w:val="24"/>
                <w:szCs w:val="24"/>
                <w:vertAlign w:val="superscript"/>
              </w:rPr>
              <w:t>2</w:t>
            </w:r>
            <w:r>
              <w:rPr>
                <w:rFonts w:eastAsia="Times New Roman" w:cs="Times New Roman" w:ascii="Times New Roman" w:hAnsi="Times New Roman"/>
                <w:sz w:val="24"/>
                <w:szCs w:val="24"/>
                <w:lang w:bidi="hi-IN"/>
              </w:rPr>
              <w:t>;</w:t>
            </w:r>
          </w:p>
          <w:p>
            <w:pPr>
              <w:pStyle w:val="Normal"/>
              <w:spacing w:lineRule="auto" w:line="240" w:before="0" w:after="0"/>
              <w:jc w:val="both"/>
              <w:rPr>
                <w:rFonts w:ascii="Times New Roman" w:hAnsi="Times New Roman" w:cs="Times New Roman"/>
                <w:sz w:val="24"/>
                <w:szCs w:val="24"/>
              </w:rPr>
            </w:pPr>
            <w:r>
              <w:rPr>
                <w:rFonts w:eastAsia="Tahoma" w:cs="Times New Roman" w:ascii="Times New Roman" w:hAnsi="Times New Roman"/>
                <w:sz w:val="24"/>
                <w:szCs w:val="24"/>
                <w:lang w:bidi="ru-RU"/>
              </w:rPr>
              <w:t xml:space="preserve">Минимальный размер земельного участка для </w:t>
            </w:r>
            <w:r>
              <w:rPr>
                <w:rFonts w:eastAsia="Times New Roman" w:cs="Times New Roman" w:ascii="Times New Roman" w:hAnsi="Times New Roman"/>
                <w:sz w:val="24"/>
                <w:szCs w:val="24"/>
                <w:lang w:bidi="hi-IN"/>
              </w:rPr>
              <w:t xml:space="preserve">блокированного и коттеджного типа для вновь осваиваемых территорий для одного блока коттеджа (для домов с количеством от 3 до 10) - 150 </w:t>
            </w:r>
            <w:r>
              <w:rPr>
                <w:rFonts w:eastAsia="Tahoma" w:cs="Times New Roman" w:ascii="Times New Roman" w:hAnsi="Times New Roman"/>
                <w:sz w:val="24"/>
                <w:szCs w:val="24"/>
              </w:rPr>
              <w:t>м</w:t>
            </w:r>
            <w:r>
              <w:rPr>
                <w:rFonts w:eastAsia="Tahoma" w:cs="Times New Roman" w:ascii="Times New Roman" w:hAnsi="Times New Roman"/>
                <w:sz w:val="24"/>
                <w:szCs w:val="24"/>
                <w:vertAlign w:val="superscript"/>
              </w:rPr>
              <w:t>2</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imes New Roman" w:cs="Times New Roman" w:ascii="Times New Roman" w:hAnsi="Times New Roman"/>
                <w:sz w:val="24"/>
                <w:szCs w:val="24"/>
                <w:lang w:bidi="ru-RU"/>
              </w:rPr>
              <w:t>Передвижное жилье</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Коммунальное обслуживание</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Социальное обслуживание</w:t>
            </w:r>
          </w:p>
        </w:tc>
        <w:tc>
          <w:tcPr>
            <w:tcW w:w="4245"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cs="Times New Roman" w:ascii="Times New Roman" w:hAnsi="Times New Roman"/>
                <w:sz w:val="24"/>
                <w:szCs w:val="24"/>
              </w:rPr>
              <w:t>минимальная площадь земельного участка 500 кв.м</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Бытовое обслуживание</w:t>
            </w:r>
          </w:p>
        </w:tc>
        <w:tc>
          <w:tcPr>
            <w:tcW w:w="4245"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cs="Times New Roman" w:ascii="Times New Roman" w:hAnsi="Times New Roman"/>
                <w:sz w:val="24"/>
                <w:szCs w:val="24"/>
              </w:rPr>
              <w:t>10-5000 кв.м</w:t>
            </w:r>
          </w:p>
        </w:tc>
      </w:tr>
      <w:tr>
        <w:trPr/>
        <w:tc>
          <w:tcPr>
            <w:tcW w:w="4814"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Амбулаторно-поликлиническое обслуживание</w:t>
            </w:r>
          </w:p>
        </w:tc>
        <w:tc>
          <w:tcPr>
            <w:tcW w:w="4245"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Минимальная площадь земельного участка 2000 кв.м и 1000 кв.м на каждые 100 посещений в смену</w:t>
            </w:r>
          </w:p>
        </w:tc>
      </w:tr>
      <w:tr>
        <w:trPr/>
        <w:tc>
          <w:tcPr>
            <w:tcW w:w="4814"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Дошкольное, начальное и среднее общее образование</w:t>
            </w:r>
          </w:p>
        </w:tc>
        <w:tc>
          <w:tcPr>
            <w:tcW w:w="4245" w:type="dxa"/>
            <w:tcBorders/>
            <w:shd w:fill="auto" w:val="clear"/>
            <w:tcMar>
              <w:left w:w="73" w:type="dxa"/>
            </w:tcMar>
            <w:vAlign w:val="center"/>
          </w:tcPr>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Размер земельного участка детского дошкольного учреждения, при вместимости:</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1) до 100 мест - 40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2) от 100 мест -35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3) от 500 мест - 30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Размер земельного участка общеобразовательного учреждения, при вместимости:</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1) до 400 мест - 50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2) 400 - 500 мест - 60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3) 500 - 600 мест - 50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4) 600 - 800 мест - 40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5) 800 - 1100 мест - 33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6) 1100 - 1500 мест - 21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7) 1500 - 2000 мест - 17 кв.м на 1 место;</w:t>
            </w:r>
          </w:p>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8) более 2000 мест - 16 кв.м на 1 место</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Религиозное использование</w:t>
            </w:r>
          </w:p>
        </w:tc>
        <w:tc>
          <w:tcPr>
            <w:tcW w:w="4245" w:type="dxa"/>
            <w:tcBorders/>
            <w:shd w:fill="auto" w:val="clear"/>
            <w:tcMar>
              <w:left w:w="73" w:type="dxa"/>
            </w:tcMar>
          </w:tcPr>
          <w:p>
            <w:pPr>
              <w:pStyle w:val="Normal"/>
              <w:spacing w:lineRule="auto" w:line="240" w:before="0" w:after="0"/>
              <w:jc w:val="both"/>
              <w:rPr>
                <w:rFonts w:ascii="Times New Roman" w:hAnsi="Times New Roman" w:eastAsia="Tahoma" w:cs="Times New Roman"/>
                <w:sz w:val="24"/>
                <w:szCs w:val="24"/>
              </w:rPr>
            </w:pPr>
            <w:r>
              <w:rPr>
                <w:rFonts w:eastAsia="Tahoma" w:cs="Times New Roman" w:ascii="Times New Roman" w:hAnsi="Times New Roman"/>
                <w:sz w:val="24"/>
                <w:szCs w:val="24"/>
              </w:rPr>
              <w:t>Размеры земельных участков храмовых комплексов, включающих основные здания и сооружения богослужебного и вспомогательного назначения, принимаются исходя из удельного показателя - 7 кв.м площади участка на единицу вместимости храма.</w:t>
            </w:r>
          </w:p>
          <w:p>
            <w:pPr>
              <w:pStyle w:val="Normal"/>
              <w:widowControl w:val="false"/>
              <w:spacing w:lineRule="auto" w:line="240" w:before="0" w:after="0"/>
              <w:jc w:val="both"/>
              <w:rPr>
                <w:rFonts w:ascii="Times New Roman" w:hAnsi="Times New Roman" w:cs="Times New Roman"/>
                <w:sz w:val="24"/>
                <w:szCs w:val="24"/>
              </w:rPr>
            </w:pPr>
            <w:r>
              <w:rPr>
                <w:rFonts w:eastAsia="Times New Roman" w:cs="Times New Roman" w:ascii="Times New Roman" w:hAnsi="Times New Roman"/>
                <w:sz w:val="24"/>
                <w:szCs w:val="24"/>
              </w:rPr>
              <w:t>При строительстве храмовых комплексов в особых условиях: стеснённости (затеснённая застройка), допускается уменьшение удельного показателя земельного участка (кв.м на единицу вместимости), но не более чем на 25%</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Общественное управление</w:t>
            </w:r>
          </w:p>
        </w:tc>
        <w:tc>
          <w:tcPr>
            <w:tcW w:w="4245" w:type="dxa"/>
            <w:tcBorders/>
            <w:shd w:fill="auto" w:val="clear"/>
            <w:tcMar>
              <w:left w:w="73" w:type="dxa"/>
            </w:tcMar>
          </w:tcPr>
          <w:p>
            <w:pPr>
              <w:pStyle w:val="Normal"/>
              <w:spacing w:lineRule="auto" w:line="240" w:before="0" w:after="0"/>
              <w:jc w:val="both"/>
              <w:rPr>
                <w:rFonts w:ascii="Times New Roman" w:hAnsi="Times New Roman" w:cs="Times New Roman"/>
                <w:sz w:val="24"/>
                <w:szCs w:val="24"/>
              </w:rPr>
            </w:pPr>
            <w:r>
              <w:rPr>
                <w:rFonts w:eastAsia="Times New Roman" w:cs="Times New Roman" w:ascii="Times New Roman" w:hAnsi="Times New Roman"/>
                <w:sz w:val="24"/>
                <w:szCs w:val="24"/>
                <w:lang w:bidi="ru-RU"/>
              </w:rPr>
              <w:t>Минимальный размер земельного участка 1200 кв.м</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Деловое управление</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cs="Times New Roman" w:ascii="Times New Roman" w:hAnsi="Times New Roman"/>
                <w:sz w:val="24"/>
                <w:szCs w:val="24"/>
              </w:rPr>
              <w:t>минимальная площадь земельного участка 1200 кв.м</w:t>
            </w:r>
          </w:p>
        </w:tc>
      </w:tr>
      <w:tr>
        <w:trPr/>
        <w:tc>
          <w:tcPr>
            <w:tcW w:w="4814"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Магазины</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cs="Times New Roman" w:ascii="Times New Roman" w:hAnsi="Times New Roman"/>
                <w:sz w:val="24"/>
                <w:szCs w:val="24"/>
              </w:rPr>
              <w:t>Максимальная площадь земельного участка 1600 кв.м, из расчета 800 кв.м участка на 100 кв. м торговой площади</w:t>
            </w:r>
          </w:p>
        </w:tc>
      </w:tr>
      <w:tr>
        <w:trPr/>
        <w:tc>
          <w:tcPr>
            <w:tcW w:w="4814"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Общественное питание</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cs="Times New Roman" w:ascii="Times New Roman" w:hAnsi="Times New Roman"/>
                <w:sz w:val="24"/>
                <w:szCs w:val="24"/>
              </w:rPr>
              <w:t>500-2300 кв.м</w:t>
            </w:r>
          </w:p>
        </w:tc>
      </w:tr>
      <w:tr>
        <w:trPr/>
        <w:tc>
          <w:tcPr>
            <w:tcW w:w="4814"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Земельные участки (территории) общего пользования</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4814" w:type="dxa"/>
            <w:tcBorders>
              <w:top w:val="nil"/>
            </w:tcBorders>
            <w:shd w:fill="auto" w:val="clear"/>
            <w:tcMar>
              <w:left w:w="73" w:type="dxa"/>
            </w:tcMar>
          </w:tcPr>
          <w:p>
            <w:pPr>
              <w:pStyle w:val="Normal"/>
              <w:spacing w:lineRule="auto" w:line="240" w:before="0" w:after="0"/>
              <w:ind w:firstLine="567"/>
              <w:rPr>
                <w:rFonts w:ascii="Times New Roman" w:hAnsi="Times New Roman"/>
                <w:sz w:val="24"/>
                <w:szCs w:val="24"/>
              </w:rPr>
            </w:pPr>
            <w:r>
              <w:rPr>
                <w:rFonts w:ascii="Times New Roman" w:hAnsi="Times New Roman"/>
                <w:sz w:val="24"/>
                <w:szCs w:val="24"/>
              </w:rPr>
              <w:t>Садоводство</w:t>
            </w:r>
          </w:p>
        </w:tc>
        <w:tc>
          <w:tcPr>
            <w:tcW w:w="4245" w:type="dxa"/>
            <w:tcBorders>
              <w:top w:val="nil"/>
            </w:tcBorders>
            <w:shd w:fill="auto" w:val="clear"/>
            <w:tcMar>
              <w:left w:w="73" w:type="dxa"/>
            </w:tcMar>
          </w:tcPr>
          <w:p>
            <w:pPr>
              <w:pStyle w:val="Normal"/>
              <w:spacing w:lineRule="auto" w:line="240" w:before="0" w:after="0"/>
              <w:jc w:val="both"/>
              <w:rPr/>
            </w:pPr>
            <w:r>
              <w:rPr>
                <w:rFonts w:eastAsia="Tahoma" w:cs="Times New Roman" w:ascii="Times New Roman" w:hAnsi="Times New Roman"/>
                <w:sz w:val="24"/>
                <w:szCs w:val="24"/>
              </w:rPr>
              <w:t>Минимальный размер земельного участка 1000 кв.м, максимальный размер земельного участка 3000 кв.м</w:t>
            </w:r>
            <w:r>
              <w:rPr>
                <w:rFonts w:cs="Times New Roman" w:ascii="Times New Roman" w:hAnsi="Times New Roman"/>
                <w:sz w:val="24"/>
                <w:szCs w:val="24"/>
              </w:rPr>
              <w:t xml:space="preserve"> </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Среднеэтажная жилая застройка</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cs="Times New Roman" w:ascii="Times New Roman" w:hAnsi="Times New Roman"/>
                <w:sz w:val="24"/>
                <w:szCs w:val="24"/>
              </w:rPr>
              <w:t>Минимальная площадь земельного участка жилого дома среднеэтажная жилая застройка из расчета 17,3 кв. м на 1 чел. при уплотнении существующей застройки 11,7 кв. м на 1 чел. в проектируемой застройке.</w:t>
            </w:r>
          </w:p>
        </w:tc>
      </w:tr>
      <w:tr>
        <w:trPr/>
        <w:tc>
          <w:tcPr>
            <w:tcW w:w="4814"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Банковская и страховая деятельность</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cs="Times New Roman" w:ascii="Times New Roman" w:hAnsi="Times New Roman"/>
                <w:sz w:val="24"/>
                <w:szCs w:val="24"/>
              </w:rPr>
              <w:t>500-2400 кв.м</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Пищевая промышленность</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Минимальная площадь земельного участка 700 кв.м</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Ведение огородничества</w:t>
            </w:r>
          </w:p>
        </w:tc>
        <w:tc>
          <w:tcPr>
            <w:tcW w:w="4245" w:type="dxa"/>
            <w:tcBorders/>
            <w:shd w:fill="auto" w:val="clear"/>
            <w:tcMar>
              <w:left w:w="73" w:type="dxa"/>
            </w:tcMar>
          </w:tcPr>
          <w:p>
            <w:pPr>
              <w:pStyle w:val="Normal"/>
              <w:spacing w:lineRule="auto" w:line="240" w:before="0" w:after="0"/>
              <w:rPr/>
            </w:pPr>
            <w:r>
              <w:rPr>
                <w:rFonts w:ascii="Times New Roman" w:hAnsi="Times New Roman"/>
                <w:sz w:val="24"/>
              </w:rPr>
              <w:t>400-1500 кв.м</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Ведение садоводства</w:t>
            </w:r>
          </w:p>
        </w:tc>
        <w:tc>
          <w:tcPr>
            <w:tcW w:w="4245" w:type="dxa"/>
            <w:tcBorders/>
            <w:shd w:fill="auto" w:val="clear"/>
            <w:tcMar>
              <w:left w:w="73" w:type="dxa"/>
            </w:tcMar>
          </w:tcPr>
          <w:p>
            <w:pPr>
              <w:pStyle w:val="Normal"/>
              <w:spacing w:lineRule="auto" w:line="240" w:before="0" w:after="0"/>
              <w:rPr>
                <w:rFonts w:ascii="Times New Roman" w:hAnsi="Times New Roman" w:eastAsia="Times New Roman" w:cs="Times New Roman"/>
                <w:sz w:val="24"/>
                <w:szCs w:val="24"/>
                <w:lang w:bidi="ru-RU"/>
              </w:rPr>
            </w:pPr>
            <w:r>
              <w:rPr>
                <w:rFonts w:ascii="Times New Roman" w:hAnsi="Times New Roman"/>
                <w:sz w:val="24"/>
              </w:rPr>
              <w:t>600-1500 кв.м</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Объекты гаражного </w:t>
            </w:r>
            <w:r>
              <w:rPr>
                <w:rFonts w:eastAsia="Times New Roman" w:cs="Times New Roman" w:ascii="Times New Roman" w:hAnsi="Times New Roman"/>
                <w:sz w:val="24"/>
                <w:szCs w:val="24"/>
              </w:rPr>
              <w:t>назначения</w:t>
            </w:r>
          </w:p>
        </w:tc>
        <w:tc>
          <w:tcPr>
            <w:tcW w:w="4245" w:type="dxa"/>
            <w:tcBorders/>
            <w:shd w:fill="auto" w:val="clear"/>
            <w:tcMar>
              <w:left w:w="73" w:type="dxa"/>
            </w:tcMar>
          </w:tcPr>
          <w:p>
            <w:pPr>
              <w:pStyle w:val="Normal"/>
              <w:spacing w:lineRule="auto" w:line="240" w:before="0" w:after="0"/>
              <w:rPr/>
            </w:pPr>
            <w:r>
              <w:rPr>
                <w:rFonts w:eastAsia="Times New Roman" w:cs="Times New Roman" w:ascii="Times New Roman" w:hAnsi="Times New Roman"/>
                <w:sz w:val="24"/>
                <w:szCs w:val="24"/>
                <w:lang w:bidi="ru-RU"/>
              </w:rPr>
              <w:t>15-60 кв.м.</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Обслуживание автотранспорта</w:t>
            </w:r>
          </w:p>
        </w:tc>
        <w:tc>
          <w:tcPr>
            <w:tcW w:w="4245" w:type="dxa"/>
            <w:tcBorders/>
            <w:shd w:fill="auto" w:val="clear"/>
            <w:tcMar>
              <w:left w:w="73" w:type="dxa"/>
            </w:tcMar>
          </w:tcPr>
          <w:p>
            <w:pPr>
              <w:pStyle w:val="Normal"/>
              <w:spacing w:lineRule="auto" w:line="240" w:before="0" w:after="0"/>
              <w:rPr/>
            </w:pPr>
            <w:r>
              <w:rPr>
                <w:rFonts w:eastAsia="Times New Roman" w:cs="Times New Roman" w:ascii="Times New Roman" w:hAnsi="Times New Roman"/>
                <w:sz w:val="24"/>
                <w:szCs w:val="24"/>
                <w:lang w:bidi="ru-RU"/>
              </w:rPr>
              <w:t>15-60 кв.м.</w:t>
            </w:r>
          </w:p>
        </w:tc>
      </w:tr>
      <w:tr>
        <w:trPr/>
        <w:tc>
          <w:tcPr>
            <w:tcW w:w="4814" w:type="dxa"/>
            <w:tcBorders/>
            <w:shd w:color="auto"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Спорт</w:t>
            </w:r>
          </w:p>
        </w:tc>
        <w:tc>
          <w:tcPr>
            <w:tcW w:w="4245" w:type="dxa"/>
            <w:tcBorders/>
            <w:shd w:color="auto"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700-10000 кв.м</w:t>
            </w:r>
          </w:p>
        </w:tc>
      </w:tr>
    </w:tbl>
    <w:p>
      <w:pPr>
        <w:pStyle w:val="Normal"/>
        <w:spacing w:lineRule="auto" w:line="240" w:before="0" w:after="0"/>
        <w:ind w:firstLine="567"/>
        <w:jc w:val="both"/>
        <w:rPr>
          <w:rFonts w:ascii="Times New Roman" w:hAnsi="Times New Roman" w:eastAsia="Times New Roman" w:cs="Times New Roman"/>
          <w:sz w:val="24"/>
          <w:szCs w:val="24"/>
          <w:lang w:bidi="hi-IN"/>
        </w:rPr>
      </w:pPr>
      <w:r>
        <w:rPr>
          <w:rFonts w:eastAsia="Times New Roman" w:cs="Times New Roman" w:ascii="Times New Roman" w:hAnsi="Times New Roman"/>
          <w:sz w:val="24"/>
          <w:szCs w:val="24"/>
          <w:lang w:bidi="hi-IN"/>
        </w:rPr>
        <w:t>Площадь земельных участков для выравнивания красной линии улицы и до закрепления земельного участка к основному участку считать равной в сложившихся границах пользования, целевое назначение - то же, что и целевое назначение основного участка.</w:t>
      </w:r>
    </w:p>
    <w:p>
      <w:pPr>
        <w:pStyle w:val="Normal"/>
        <w:spacing w:lineRule="auto" w:line="240" w:before="0" w:after="0"/>
        <w:ind w:firstLine="567"/>
        <w:jc w:val="both"/>
        <w:rPr>
          <w:rFonts w:ascii="Times New Roman" w:hAnsi="Times New Roman" w:eastAsia="Times New Roman" w:cs="Times New Roman"/>
          <w:sz w:val="24"/>
          <w:szCs w:val="24"/>
          <w:lang w:bidi="hi-IN"/>
        </w:rPr>
      </w:pPr>
      <w:r>
        <w:rPr>
          <w:rFonts w:eastAsia="Times New Roman" w:cs="Times New Roman" w:ascii="Times New Roman" w:hAnsi="Times New Roman"/>
          <w:sz w:val="24"/>
          <w:szCs w:val="24"/>
          <w:lang w:bidi="hi-IN"/>
        </w:rPr>
        <w:t>На земельные участки, находящиеся в собственности, а также в постоянном (бессрочном) пользовании граждан до введения в действие Земельного кодекса Российской Федерации и предоставленные для индивидуального жилищного строительства и для ведения личного подсобного хозяйства, предельные (максимальные и минимальные) размеры, установленные настоящими Правилами, не распространяются.</w:t>
      </w:r>
    </w:p>
    <w:p>
      <w:pPr>
        <w:pStyle w:val="Normal"/>
        <w:spacing w:lineRule="auto" w:line="240" w:before="0" w:after="0"/>
        <w:ind w:firstLine="567"/>
        <w:jc w:val="both"/>
        <w:rPr>
          <w:rFonts w:ascii="Times New Roman" w:hAnsi="Times New Roman" w:eastAsia="Times New Roman" w:cs="Times New Roman"/>
          <w:sz w:val="24"/>
          <w:szCs w:val="24"/>
          <w:lang w:bidi="hi-IN"/>
        </w:rPr>
      </w:pPr>
      <w:r>
        <w:rPr>
          <w:rFonts w:eastAsia="Times New Roman" w:cs="Times New Roman" w:ascii="Times New Roman" w:hAnsi="Times New Roman"/>
          <w:sz w:val="24"/>
          <w:szCs w:val="24"/>
          <w:lang w:bidi="hi-IN"/>
        </w:rPr>
        <w:t>При дополнительном отводе гражданам земельных участков для индивидуального жилищного строительства и для ведения личного подсобного хозяйства к ранее предоставленным земельным участкам минимальные размеры не применяются.</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b/>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Минимальный отступ от красной линии улиц не менее чем на 5 м, от красной линии проездов - не менее чем на 3 м.</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В районах сложившейся усадебной застройки жилые дома могут размещаться по красной линии жилых улиц в соответствии со сложившимися местными традициями.</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По красной линии допускается размещать жилые здания со встроенными в первые этажи или пристроенными помещениями общественного назначения, а на жилых улицах в условиях реконструкции сложившейся застройки - жилые здания с квартирами в первых этажах.</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Отступ от красных линий для школ и детских дошкольных учреждений, размещаемых в отдельных зданиях - не менее 25 м, в реконструируемых кварталах - не менее 15 м.</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Расстояние от хозяйственных построек до красных линий улиц и проездов должно быть не менее 5 м. Минимальное расстояние от хозяйственных построек до границ участка должно быть не менее 1 м.</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Расстояние от окон жилых комнат до стен соседнего дома и хозяйственных построек, расположенных на соседних земельных участках, должно быть не менее 6 м. Минимальное расстояние от границ соседнего участка до основного строения - не должно быть менее 3 м, до хозяйственных построек - менее 1 м.</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Минимальное расстояние от постройки для содержания скота и птицы до границ соседнего участка - 4 м; от других построек (бани, гаража и др.) - 1 м; от стволов высокорослых деревьев - 4 м; среднерослых - 2 м; от кустарника - 1 м.</w:t>
      </w:r>
    </w:p>
    <w:p>
      <w:pPr>
        <w:pStyle w:val="Normal"/>
        <w:spacing w:lineRule="auto" w:line="240" w:before="0" w:after="0"/>
        <w:ind w:firstLine="567"/>
        <w:jc w:val="both"/>
        <w:rPr>
          <w:rFonts w:ascii="Times New Roman" w:hAnsi="Times New Roman" w:cs="Times New Roman"/>
          <w:sz w:val="24"/>
          <w:szCs w:val="24"/>
        </w:rPr>
      </w:pPr>
      <w:r>
        <w:rPr>
          <w:rFonts w:eastAsia="Tahoma" w:cs="Times New Roman" w:ascii="Times New Roman" w:hAnsi="Times New Roman"/>
          <w:sz w:val="24"/>
          <w:szCs w:val="24"/>
        </w:rPr>
        <w:t xml:space="preserve">Размещение гаража для легковой машины допускается на расстоянии не меньше 1 м от границы участка. </w:t>
      </w:r>
      <w:r>
        <w:rPr>
          <w:rFonts w:cs="Times New Roman" w:ascii="Times New Roman" w:hAnsi="Times New Roman"/>
          <w:sz w:val="24"/>
          <w:szCs w:val="24"/>
        </w:rPr>
        <w:t>Расстояния от границ участка до стены жилого дома и хозяйственных построек могут быть сокращены при соблюдении норм инсоляции, освещенности, противопожарной защиты и по обоюдному согласию домовладельцев.</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Расстояние между блокированными жилыми домами следует принимать на основе расчетов инсоляции и освещенности, учета противопожарных санитарно-гигиенических требований, но не менее 6,0 м. При этом расстояния между длинными сторонами зданий высотой два-три этажа должны быть не менее 15,0 м.</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По красной линии допускается располагать жилые дома блокированного типа со встроенными или пристроенными помещениями общественного назначения.</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При строительстве на участке более одного блокированного жилого дома, на участке необходимо предусматривать места для парковки (в том числе - гостевой) из расчета одного машиноместа на один блок (квартиру) с расположением от жилых строений (в том числе - соседних), на расстоянии не менее 10,0 м., а также, детскую игровую площадку на расстоянии 12,0 м. от окон жилых домов и хозяйственную площадку - на расстоянии не менее 20,0 м от окон жилого дома, а также разворотную площадку размером не менее 12 х 12 метров при длине проезда менее 50 метров или размером не менее чем 15 х 15 метров при длине проезда более 50 метров.</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3. Предельное количество этажей или предельная высота зданий, строений, сооружений:</w:t>
      </w:r>
    </w:p>
    <w:p>
      <w:pPr>
        <w:pStyle w:val="Normal"/>
        <w:suppressAutoHyphens w:val="tru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предельное количество надземных этажей строений – 3.</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bl>
      <w:tblPr>
        <w:tblW w:w="9072" w:type="dxa"/>
        <w:jc w:val="left"/>
        <w:tblInd w:w="27"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02" w:type="dxa"/>
          <w:left w:w="27" w:type="dxa"/>
          <w:bottom w:w="102" w:type="dxa"/>
          <w:right w:w="62" w:type="dxa"/>
        </w:tblCellMar>
        <w:tblLook w:firstRow="0" w:noVBand="0" w:lastRow="0" w:firstColumn="0" w:lastColumn="0" w:noHBand="0" w:val="0000"/>
      </w:tblPr>
      <w:tblGrid>
        <w:gridCol w:w="1417"/>
        <w:gridCol w:w="2411"/>
        <w:gridCol w:w="2409"/>
        <w:gridCol w:w="2834"/>
      </w:tblGrid>
      <w:tr>
        <w:trPr/>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pPr>
            <w:r>
              <w:rPr>
                <w:rFonts w:cs="Times New Roman" w:ascii="Times New Roman" w:hAnsi="Times New Roman"/>
                <w:sz w:val="24"/>
                <w:szCs w:val="24"/>
              </w:rPr>
              <w:t xml:space="preserve">Тип застройки </w:t>
            </w:r>
            <w:hyperlink w:anchor="Par485">
              <w:r>
                <w:rPr>
                  <w:webHidden/>
                  <w:rStyle w:val="Style5"/>
                  <w:rFonts w:cs="Times New Roman" w:ascii="Times New Roman" w:hAnsi="Times New Roman"/>
                  <w:vanish/>
                  <w:sz w:val="24"/>
                  <w:szCs w:val="24"/>
                </w:rPr>
                <w:t>&lt;*&gt;</w:t>
              </w:r>
            </w:hyperlink>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Размер земельного участка, м2</w:t>
            </w:r>
          </w:p>
        </w:tc>
        <w:tc>
          <w:tcPr>
            <w:tcW w:w="24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Площадь жилого дома, м2 общей площади</w:t>
            </w:r>
          </w:p>
        </w:tc>
        <w:tc>
          <w:tcPr>
            <w:tcW w:w="2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Максимальный процент застройки, %</w:t>
            </w:r>
          </w:p>
        </w:tc>
      </w:tr>
      <w:tr>
        <w:trPr/>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А</w:t>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ind w:firstLine="567"/>
              <w:jc w:val="center"/>
              <w:rPr>
                <w:rFonts w:ascii="Times New Roman" w:hAnsi="Times New Roman" w:cs="Times New Roman"/>
                <w:sz w:val="24"/>
                <w:szCs w:val="24"/>
              </w:rPr>
            </w:pPr>
            <w:r>
              <w:rPr>
                <w:rFonts w:cs="Times New Roman" w:ascii="Times New Roman" w:hAnsi="Times New Roman"/>
                <w:sz w:val="24"/>
                <w:szCs w:val="24"/>
              </w:rPr>
              <w:t>1200</w:t>
            </w:r>
          </w:p>
          <w:p>
            <w:pPr>
              <w:pStyle w:val="Normal"/>
              <w:widowControl w:val="false"/>
              <w:ind w:firstLine="567"/>
              <w:jc w:val="center"/>
              <w:rPr>
                <w:rFonts w:ascii="Times New Roman" w:hAnsi="Times New Roman" w:cs="Times New Roman"/>
                <w:sz w:val="24"/>
                <w:szCs w:val="24"/>
              </w:rPr>
            </w:pPr>
            <w:r>
              <w:rPr>
                <w:rFonts w:cs="Times New Roman" w:ascii="Times New Roman" w:hAnsi="Times New Roman"/>
                <w:sz w:val="24"/>
                <w:szCs w:val="24"/>
              </w:rPr>
              <w:t>(не более</w:t>
            </w:r>
          </w:p>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2000)</w:t>
            </w:r>
          </w:p>
        </w:tc>
        <w:tc>
          <w:tcPr>
            <w:tcW w:w="24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vAlign w:val="cente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480</w:t>
            </w:r>
          </w:p>
        </w:tc>
        <w:tc>
          <w:tcPr>
            <w:tcW w:w="2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vAlign w:val="cente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20</w:t>
            </w:r>
          </w:p>
        </w:tc>
      </w:tr>
      <w:tr>
        <w:trPr/>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1000</w:t>
            </w:r>
          </w:p>
        </w:tc>
        <w:tc>
          <w:tcPr>
            <w:tcW w:w="24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400</w:t>
            </w:r>
          </w:p>
        </w:tc>
        <w:tc>
          <w:tcPr>
            <w:tcW w:w="2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20</w:t>
            </w:r>
          </w:p>
        </w:tc>
      </w:tr>
      <w:tr>
        <w:trPr/>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800</w:t>
            </w:r>
          </w:p>
        </w:tc>
        <w:tc>
          <w:tcPr>
            <w:tcW w:w="24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pPr>
            <w:r>
              <w:rPr>
                <w:rFonts w:cs="Times New Roman" w:ascii="Times New Roman" w:hAnsi="Times New Roman"/>
                <w:sz w:val="24"/>
                <w:szCs w:val="24"/>
              </w:rPr>
              <w:t xml:space="preserve">320 (480) </w:t>
            </w:r>
            <w:hyperlink w:anchor="Par488">
              <w:r>
                <w:rPr>
                  <w:webHidden/>
                  <w:rStyle w:val="Style5"/>
                  <w:rFonts w:cs="Times New Roman" w:ascii="Times New Roman" w:hAnsi="Times New Roman"/>
                  <w:vanish/>
                  <w:sz w:val="24"/>
                  <w:szCs w:val="24"/>
                </w:rPr>
                <w:t>&lt;**&gt;</w:t>
              </w:r>
            </w:hyperlink>
          </w:p>
        </w:tc>
        <w:tc>
          <w:tcPr>
            <w:tcW w:w="2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pPr>
            <w:r>
              <w:rPr>
                <w:rFonts w:cs="Times New Roman" w:ascii="Times New Roman" w:hAnsi="Times New Roman"/>
                <w:sz w:val="24"/>
                <w:szCs w:val="24"/>
              </w:rPr>
              <w:t xml:space="preserve">20 (30) </w:t>
            </w:r>
            <w:hyperlink w:anchor="Par488">
              <w:r>
                <w:rPr>
                  <w:webHidden/>
                  <w:rStyle w:val="Style5"/>
                  <w:rFonts w:cs="Times New Roman" w:ascii="Times New Roman" w:hAnsi="Times New Roman"/>
                  <w:vanish/>
                  <w:sz w:val="24"/>
                  <w:szCs w:val="24"/>
                </w:rPr>
                <w:t>&lt;**&gt;</w:t>
              </w:r>
            </w:hyperlink>
          </w:p>
        </w:tc>
      </w:tr>
      <w:tr>
        <w:trPr/>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Б</w:t>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600</w:t>
            </w:r>
          </w:p>
        </w:tc>
        <w:tc>
          <w:tcPr>
            <w:tcW w:w="24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360</w:t>
            </w:r>
          </w:p>
        </w:tc>
        <w:tc>
          <w:tcPr>
            <w:tcW w:w="2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30</w:t>
            </w:r>
          </w:p>
        </w:tc>
      </w:tr>
      <w:tr>
        <w:trPr/>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500</w:t>
            </w:r>
          </w:p>
        </w:tc>
        <w:tc>
          <w:tcPr>
            <w:tcW w:w="24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300</w:t>
            </w:r>
          </w:p>
        </w:tc>
        <w:tc>
          <w:tcPr>
            <w:tcW w:w="2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30</w:t>
            </w:r>
          </w:p>
        </w:tc>
      </w:tr>
      <w:tr>
        <w:trPr/>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400</w:t>
            </w:r>
          </w:p>
        </w:tc>
        <w:tc>
          <w:tcPr>
            <w:tcW w:w="24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240</w:t>
            </w:r>
          </w:p>
        </w:tc>
        <w:tc>
          <w:tcPr>
            <w:tcW w:w="2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30</w:t>
            </w:r>
          </w:p>
        </w:tc>
      </w:tr>
      <w:tr>
        <w:trPr/>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300</w:t>
            </w:r>
          </w:p>
        </w:tc>
        <w:tc>
          <w:tcPr>
            <w:tcW w:w="24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240</w:t>
            </w:r>
          </w:p>
        </w:tc>
        <w:tc>
          <w:tcPr>
            <w:tcW w:w="2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40</w:t>
            </w:r>
          </w:p>
        </w:tc>
      </w:tr>
      <w:tr>
        <w:trPr/>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В</w:t>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200</w:t>
            </w:r>
          </w:p>
        </w:tc>
        <w:tc>
          <w:tcPr>
            <w:tcW w:w="24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160</w:t>
            </w:r>
          </w:p>
        </w:tc>
        <w:tc>
          <w:tcPr>
            <w:tcW w:w="2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40</w:t>
            </w:r>
          </w:p>
        </w:tc>
      </w:tr>
      <w:tr>
        <w:trPr/>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100</w:t>
            </w:r>
          </w:p>
        </w:tc>
        <w:tc>
          <w:tcPr>
            <w:tcW w:w="24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100</w:t>
            </w:r>
          </w:p>
        </w:tc>
        <w:tc>
          <w:tcPr>
            <w:tcW w:w="28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7" w:type="dxa"/>
            </w:tcMar>
          </w:tcPr>
          <w:p>
            <w:pPr>
              <w:pStyle w:val="Normal"/>
              <w:widowControl w:val="false"/>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50</w:t>
            </w:r>
          </w:p>
        </w:tc>
      </w:tr>
    </w:tbl>
    <w:p>
      <w:pPr>
        <w:pStyle w:val="Normal"/>
        <w:widowControl w:val="false"/>
        <w:pBdr>
          <w:bottom w:val="single" w:sz="6" w:space="1" w:color="00000A"/>
        </w:pBdr>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r>
    </w:p>
    <w:p>
      <w:pPr>
        <w:pStyle w:val="Normal"/>
        <w:widowControl w:val="false"/>
        <w:spacing w:lineRule="auto" w:line="240" w:before="0" w:after="0"/>
        <w:ind w:firstLine="567"/>
        <w:jc w:val="both"/>
        <w:rPr>
          <w:rFonts w:ascii="Times New Roman" w:hAnsi="Times New Roman" w:cs="Times New Roman"/>
          <w:sz w:val="24"/>
          <w:szCs w:val="24"/>
        </w:rPr>
      </w:pPr>
      <w:bookmarkStart w:id="83" w:name="Par485"/>
      <w:bookmarkEnd w:id="83"/>
      <w:r>
        <w:rPr>
          <w:rFonts w:cs="Times New Roman" w:ascii="Times New Roman" w:hAnsi="Times New Roman"/>
          <w:sz w:val="24"/>
          <w:szCs w:val="24"/>
        </w:rPr>
        <w:t>&lt;*&gt; А - усадебная застройка сельско-городского типа с размером участка 800 м2 и сельского типа с размером участка 1000 - 1200 м2.</w:t>
      </w:r>
    </w:p>
    <w:p>
      <w:pPr>
        <w:pStyle w:val="Normal"/>
        <w:widowControl w:val="fals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Б - застройка коттеджного типа с размером участков от 400 до 800 м2 и коттеджно-блокированного типа (2 - 4-квартирные сблокированные дома с участками 300 - 400 м2.</w:t>
      </w:r>
    </w:p>
    <w:p>
      <w:pPr>
        <w:pStyle w:val="Normal"/>
        <w:widowControl w:val="fals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В - многоквартирная застройка коттеджно-блокированного типа с размером приквартирных участков 100 - 300 м2.</w:t>
      </w:r>
    </w:p>
    <w:p>
      <w:pPr>
        <w:pStyle w:val="Normal"/>
        <w:widowControl w:val="false"/>
        <w:spacing w:lineRule="auto" w:line="240" w:before="0" w:after="0"/>
        <w:ind w:firstLine="567"/>
        <w:jc w:val="both"/>
        <w:rPr>
          <w:rFonts w:ascii="Times New Roman" w:hAnsi="Times New Roman" w:cs="Times New Roman"/>
          <w:sz w:val="24"/>
          <w:szCs w:val="24"/>
        </w:rPr>
      </w:pPr>
      <w:bookmarkStart w:id="84" w:name="Par488"/>
      <w:bookmarkEnd w:id="84"/>
      <w:r>
        <w:rPr>
          <w:rFonts w:cs="Times New Roman" w:ascii="Times New Roman" w:hAnsi="Times New Roman"/>
          <w:sz w:val="24"/>
          <w:szCs w:val="24"/>
        </w:rPr>
        <w:t>&lt;**&gt; В скобках - допустимые параметры для коттеджной застройки.</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5. Иные предельные параметры разрешенного строительства, реконструкции объектов капитального строительства.</w:t>
      </w:r>
    </w:p>
    <w:p>
      <w:pPr>
        <w:pStyle w:val="Normal"/>
        <w:tabs>
          <w:tab w:val="left" w:pos="142" w:leader="none"/>
        </w:tabs>
        <w:spacing w:lineRule="auto" w:line="240" w:before="0" w:after="0"/>
        <w:ind w:firstLine="567"/>
        <w:contextualSpacing/>
        <w:jc w:val="both"/>
        <w:rPr>
          <w:rFonts w:ascii="Times New Roman" w:hAnsi="Times New Roman" w:cs="Times New Roman"/>
          <w:sz w:val="24"/>
          <w:szCs w:val="24"/>
        </w:rPr>
      </w:pPr>
      <w:r>
        <w:rPr>
          <w:rFonts w:cs="Times New Roman" w:ascii="Times New Roman" w:hAnsi="Times New Roman"/>
          <w:spacing w:val="-10"/>
          <w:sz w:val="24"/>
          <w:szCs w:val="24"/>
        </w:rPr>
        <w:t>При строительстве хозяйственных построек для содержания и разведения животных в личных подсобных хозяйствах граждан расстояния от помещений и выгулов (вольеров, навесов, загонов) для содержания и разведения животных до окон жилых помещений и кухонь должны быть не менее указанных в таблице:</w:t>
      </w:r>
    </w:p>
    <w:tbl>
      <w:tblPr>
        <w:tblW w:w="5000" w:type="pct"/>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70" w:type="dxa"/>
        </w:tblCellMar>
        <w:tblLook w:firstRow="1" w:noVBand="1" w:lastRow="0" w:firstColumn="1" w:lastColumn="0" w:noHBand="0" w:val="04a0"/>
      </w:tblPr>
      <w:tblGrid>
        <w:gridCol w:w="1905"/>
        <w:gridCol w:w="968"/>
        <w:gridCol w:w="1510"/>
        <w:gridCol w:w="976"/>
        <w:gridCol w:w="968"/>
        <w:gridCol w:w="974"/>
        <w:gridCol w:w="1013"/>
        <w:gridCol w:w="1446"/>
      </w:tblGrid>
      <w:tr>
        <w:trPr>
          <w:trHeight w:val="120" w:hRule="atLeast"/>
          <w:cantSplit w:val="true"/>
        </w:trPr>
        <w:tc>
          <w:tcPr>
            <w:tcW w:w="190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widowControl/>
              <w:bidi w:val="0"/>
              <w:spacing w:lineRule="auto" w:line="259" w:before="0" w:after="160"/>
              <w:jc w:val="left"/>
              <w:rPr>
                <w:rFonts w:ascii="Times New Roman" w:hAnsi="Times New Roman" w:cs="Times New Roman"/>
                <w:sz w:val="24"/>
                <w:szCs w:val="24"/>
              </w:rPr>
            </w:pPr>
            <w:r>
              <w:rPr>
                <w:rFonts w:cs="Times New Roman" w:ascii="Times New Roman" w:hAnsi="Times New Roman"/>
                <w:sz w:val="24"/>
                <w:szCs w:val="24"/>
              </w:rPr>
              <w:t>Нормативный разрыв, не менее, метров</w:t>
            </w:r>
          </w:p>
        </w:tc>
        <w:tc>
          <w:tcPr>
            <w:tcW w:w="7855" w:type="dxa"/>
            <w:gridSpan w:val="7"/>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Поголовье, голов, не более</w:t>
            </w:r>
          </w:p>
        </w:tc>
      </w:tr>
      <w:tr>
        <w:trPr>
          <w:trHeight w:val="360" w:hRule="atLeast"/>
          <w:cantSplit w:val="true"/>
        </w:trPr>
        <w:tc>
          <w:tcPr>
            <w:tcW w:w="190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right w:w="0" w:type="dxa"/>
            </w:tcMar>
            <w:vAlign w:val="center"/>
          </w:tcPr>
          <w:p>
            <w:pPr>
              <w:pStyle w:val="Normal"/>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9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widowControl/>
              <w:bidi w:val="0"/>
              <w:spacing w:lineRule="auto" w:line="259" w:before="0" w:after="160"/>
              <w:jc w:val="left"/>
              <w:rPr>
                <w:rFonts w:ascii="Times New Roman" w:hAnsi="Times New Roman" w:cs="Times New Roman"/>
                <w:sz w:val="24"/>
                <w:szCs w:val="24"/>
              </w:rPr>
            </w:pPr>
            <w:r>
              <w:rPr>
                <w:rFonts w:cs="Times New Roman" w:ascii="Times New Roman" w:hAnsi="Times New Roman"/>
                <w:sz w:val="24"/>
                <w:szCs w:val="24"/>
              </w:rPr>
              <w:t>свиньи</w:t>
            </w:r>
          </w:p>
        </w:tc>
        <w:tc>
          <w:tcPr>
            <w:tcW w:w="151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widowControl/>
              <w:bidi w:val="0"/>
              <w:spacing w:lineRule="auto" w:line="259" w:before="0" w:after="160"/>
              <w:jc w:val="left"/>
              <w:rPr>
                <w:rFonts w:ascii="Times New Roman" w:hAnsi="Times New Roman" w:cs="Times New Roman"/>
                <w:sz w:val="24"/>
                <w:szCs w:val="24"/>
              </w:rPr>
            </w:pPr>
            <w:r>
              <w:rPr>
                <w:rFonts w:cs="Times New Roman" w:ascii="Times New Roman" w:hAnsi="Times New Roman"/>
                <w:sz w:val="24"/>
                <w:szCs w:val="24"/>
              </w:rPr>
              <w:t>крупный рогатый скот</w:t>
            </w:r>
          </w:p>
        </w:tc>
        <w:tc>
          <w:tcPr>
            <w:tcW w:w="97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widowControl/>
              <w:bidi w:val="0"/>
              <w:spacing w:lineRule="auto" w:line="259" w:before="0" w:after="160"/>
              <w:jc w:val="left"/>
              <w:rPr>
                <w:rFonts w:ascii="Times New Roman" w:hAnsi="Times New Roman" w:cs="Times New Roman"/>
                <w:sz w:val="24"/>
                <w:szCs w:val="24"/>
              </w:rPr>
            </w:pPr>
            <w:r>
              <w:rPr>
                <w:rFonts w:cs="Times New Roman" w:ascii="Times New Roman" w:hAnsi="Times New Roman"/>
                <w:sz w:val="24"/>
                <w:szCs w:val="24"/>
              </w:rPr>
              <w:t>овцы, </w:t>
              <w:br/>
              <w:t>козы</w:t>
            </w:r>
          </w:p>
        </w:tc>
        <w:tc>
          <w:tcPr>
            <w:tcW w:w="9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widowControl/>
              <w:bidi w:val="0"/>
              <w:spacing w:lineRule="auto" w:line="259" w:before="0" w:after="160"/>
              <w:jc w:val="left"/>
              <w:rPr>
                <w:rFonts w:ascii="Times New Roman" w:hAnsi="Times New Roman" w:cs="Times New Roman"/>
                <w:sz w:val="24"/>
                <w:szCs w:val="24"/>
              </w:rPr>
            </w:pPr>
            <w:r>
              <w:rPr>
                <w:rFonts w:cs="Times New Roman" w:ascii="Times New Roman" w:hAnsi="Times New Roman"/>
                <w:sz w:val="24"/>
                <w:szCs w:val="24"/>
              </w:rPr>
              <w:t>лошади</w:t>
            </w:r>
          </w:p>
        </w:tc>
        <w:tc>
          <w:tcPr>
            <w:tcW w:w="97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widowControl/>
              <w:bidi w:val="0"/>
              <w:spacing w:lineRule="auto" w:line="259" w:before="0" w:after="160"/>
              <w:jc w:val="left"/>
              <w:rPr>
                <w:rFonts w:ascii="Times New Roman" w:hAnsi="Times New Roman" w:cs="Times New Roman"/>
                <w:sz w:val="24"/>
                <w:szCs w:val="24"/>
              </w:rPr>
            </w:pPr>
            <w:r>
              <w:rPr>
                <w:rFonts w:cs="Times New Roman" w:ascii="Times New Roman" w:hAnsi="Times New Roman"/>
                <w:sz w:val="24"/>
                <w:szCs w:val="24"/>
              </w:rPr>
              <w:t>птица</w:t>
            </w:r>
          </w:p>
        </w:tc>
        <w:tc>
          <w:tcPr>
            <w:tcW w:w="245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widowControl/>
              <w:bidi w:val="0"/>
              <w:spacing w:lineRule="auto" w:line="259" w:before="0" w:after="160"/>
              <w:jc w:val="left"/>
              <w:rPr>
                <w:rFonts w:ascii="Times New Roman" w:hAnsi="Times New Roman" w:cs="Times New Roman"/>
                <w:sz w:val="24"/>
                <w:szCs w:val="24"/>
              </w:rPr>
            </w:pPr>
            <w:r>
              <w:rPr>
                <w:rFonts w:cs="Times New Roman" w:ascii="Times New Roman" w:hAnsi="Times New Roman"/>
                <w:sz w:val="24"/>
                <w:szCs w:val="24"/>
              </w:rPr>
              <w:t>маточное поголовье основного стада</w:t>
            </w:r>
          </w:p>
        </w:tc>
      </w:tr>
      <w:tr>
        <w:trPr>
          <w:trHeight w:val="360" w:hRule="atLeast"/>
          <w:cantSplit w:val="true"/>
        </w:trPr>
        <w:tc>
          <w:tcPr>
            <w:tcW w:w="190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right w:w="0" w:type="dxa"/>
            </w:tcMar>
            <w:vAlign w:val="center"/>
          </w:tcPr>
          <w:p>
            <w:pPr>
              <w:pStyle w:val="Normal"/>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9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right w:w="0" w:type="dxa"/>
            </w:tcMar>
            <w:vAlign w:val="center"/>
          </w:tcPr>
          <w:p>
            <w:pPr>
              <w:pStyle w:val="Normal"/>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151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right w:w="0" w:type="dxa"/>
            </w:tcMar>
            <w:vAlign w:val="center"/>
          </w:tcPr>
          <w:p>
            <w:pPr>
              <w:pStyle w:val="Normal"/>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97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right w:w="0" w:type="dxa"/>
            </w:tcMar>
            <w:vAlign w:val="center"/>
          </w:tcPr>
          <w:p>
            <w:pPr>
              <w:pStyle w:val="Normal"/>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9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right w:w="0" w:type="dxa"/>
            </w:tcMar>
            <w:vAlign w:val="center"/>
          </w:tcPr>
          <w:p>
            <w:pPr>
              <w:pStyle w:val="Normal"/>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97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5" w:type="dxa"/>
              <w:right w:w="0" w:type="dxa"/>
            </w:tcMar>
            <w:vAlign w:val="center"/>
          </w:tcPr>
          <w:p>
            <w:pPr>
              <w:pStyle w:val="Normal"/>
              <w:spacing w:before="0" w:after="160"/>
              <w:ind w:firstLine="567"/>
              <w:rPr>
                <w:rFonts w:ascii="Times New Roman" w:hAnsi="Times New Roman" w:cs="Times New Roman"/>
                <w:sz w:val="24"/>
                <w:szCs w:val="24"/>
              </w:rPr>
            </w:pPr>
            <w:r>
              <w:rPr>
                <w:rFonts w:cs="Times New Roman" w:ascii="Times New Roman" w:hAnsi="Times New Roman"/>
                <w:sz w:val="24"/>
                <w:szCs w:val="24"/>
              </w:rPr>
            </w:r>
          </w:p>
        </w:tc>
        <w:tc>
          <w:tcPr>
            <w:tcW w:w="1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widowControl/>
              <w:bidi w:val="0"/>
              <w:spacing w:lineRule="auto" w:line="259" w:before="0" w:after="160"/>
              <w:jc w:val="left"/>
              <w:rPr>
                <w:rFonts w:ascii="Times New Roman" w:hAnsi="Times New Roman" w:cs="Times New Roman"/>
                <w:sz w:val="24"/>
                <w:szCs w:val="24"/>
              </w:rPr>
            </w:pPr>
            <w:r>
              <w:rPr>
                <w:rFonts w:cs="Times New Roman" w:ascii="Times New Roman" w:hAnsi="Times New Roman"/>
                <w:sz w:val="24"/>
                <w:szCs w:val="24"/>
              </w:rPr>
              <w:t>кролики</w:t>
            </w:r>
          </w:p>
        </w:tc>
        <w:tc>
          <w:tcPr>
            <w:tcW w:w="1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widowControl/>
              <w:bidi w:val="0"/>
              <w:spacing w:lineRule="auto" w:line="259" w:before="0" w:after="160"/>
              <w:jc w:val="left"/>
              <w:rPr>
                <w:rFonts w:ascii="Times New Roman" w:hAnsi="Times New Roman" w:cs="Times New Roman"/>
                <w:sz w:val="24"/>
                <w:szCs w:val="24"/>
              </w:rPr>
            </w:pPr>
            <w:r>
              <w:rPr>
                <w:rFonts w:cs="Times New Roman" w:ascii="Times New Roman" w:hAnsi="Times New Roman"/>
                <w:sz w:val="24"/>
                <w:szCs w:val="24"/>
              </w:rPr>
              <w:t>пушные звери</w:t>
            </w:r>
          </w:p>
        </w:tc>
      </w:tr>
      <w:tr>
        <w:trPr>
          <w:trHeight w:val="240" w:hRule="atLeast"/>
          <w:cantSplit w:val="true"/>
        </w:trPr>
        <w:tc>
          <w:tcPr>
            <w:tcW w:w="19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10</w:t>
            </w:r>
          </w:p>
        </w:tc>
        <w:tc>
          <w:tcPr>
            <w:tcW w:w="9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5</w:t>
            </w:r>
          </w:p>
        </w:tc>
        <w:tc>
          <w:tcPr>
            <w:tcW w:w="1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5</w:t>
            </w:r>
          </w:p>
        </w:tc>
        <w:tc>
          <w:tcPr>
            <w:tcW w:w="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10</w:t>
            </w:r>
          </w:p>
        </w:tc>
        <w:tc>
          <w:tcPr>
            <w:tcW w:w="9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5</w:t>
            </w:r>
          </w:p>
        </w:tc>
        <w:tc>
          <w:tcPr>
            <w:tcW w:w="9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30</w:t>
            </w:r>
          </w:p>
        </w:tc>
        <w:tc>
          <w:tcPr>
            <w:tcW w:w="1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10</w:t>
            </w:r>
          </w:p>
        </w:tc>
        <w:tc>
          <w:tcPr>
            <w:tcW w:w="1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5</w:t>
            </w:r>
          </w:p>
        </w:tc>
      </w:tr>
      <w:tr>
        <w:trPr>
          <w:trHeight w:val="240" w:hRule="atLeast"/>
          <w:cantSplit w:val="true"/>
        </w:trPr>
        <w:tc>
          <w:tcPr>
            <w:tcW w:w="19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20</w:t>
            </w:r>
          </w:p>
        </w:tc>
        <w:tc>
          <w:tcPr>
            <w:tcW w:w="9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8</w:t>
            </w:r>
          </w:p>
        </w:tc>
        <w:tc>
          <w:tcPr>
            <w:tcW w:w="1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8</w:t>
            </w:r>
          </w:p>
        </w:tc>
        <w:tc>
          <w:tcPr>
            <w:tcW w:w="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15</w:t>
            </w:r>
          </w:p>
        </w:tc>
        <w:tc>
          <w:tcPr>
            <w:tcW w:w="9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8</w:t>
            </w:r>
          </w:p>
        </w:tc>
        <w:tc>
          <w:tcPr>
            <w:tcW w:w="9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45</w:t>
            </w:r>
          </w:p>
        </w:tc>
        <w:tc>
          <w:tcPr>
            <w:tcW w:w="1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20</w:t>
            </w:r>
          </w:p>
        </w:tc>
        <w:tc>
          <w:tcPr>
            <w:tcW w:w="1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8</w:t>
            </w:r>
          </w:p>
        </w:tc>
      </w:tr>
      <w:tr>
        <w:trPr>
          <w:trHeight w:val="240" w:hRule="atLeast"/>
          <w:cantSplit w:val="true"/>
        </w:trPr>
        <w:tc>
          <w:tcPr>
            <w:tcW w:w="19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30</w:t>
            </w:r>
          </w:p>
        </w:tc>
        <w:tc>
          <w:tcPr>
            <w:tcW w:w="9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10</w:t>
            </w:r>
          </w:p>
        </w:tc>
        <w:tc>
          <w:tcPr>
            <w:tcW w:w="1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10</w:t>
            </w:r>
          </w:p>
        </w:tc>
        <w:tc>
          <w:tcPr>
            <w:tcW w:w="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20</w:t>
            </w:r>
          </w:p>
        </w:tc>
        <w:tc>
          <w:tcPr>
            <w:tcW w:w="9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10</w:t>
            </w:r>
          </w:p>
        </w:tc>
        <w:tc>
          <w:tcPr>
            <w:tcW w:w="9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60</w:t>
            </w:r>
          </w:p>
        </w:tc>
        <w:tc>
          <w:tcPr>
            <w:tcW w:w="1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30</w:t>
            </w:r>
          </w:p>
        </w:tc>
        <w:tc>
          <w:tcPr>
            <w:tcW w:w="1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10</w:t>
            </w:r>
          </w:p>
        </w:tc>
      </w:tr>
      <w:tr>
        <w:trPr>
          <w:trHeight w:val="240" w:hRule="atLeast"/>
          <w:cantSplit w:val="true"/>
        </w:trPr>
        <w:tc>
          <w:tcPr>
            <w:tcW w:w="19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40</w:t>
            </w:r>
          </w:p>
        </w:tc>
        <w:tc>
          <w:tcPr>
            <w:tcW w:w="9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15</w:t>
            </w:r>
          </w:p>
        </w:tc>
        <w:tc>
          <w:tcPr>
            <w:tcW w:w="1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15</w:t>
            </w:r>
          </w:p>
        </w:tc>
        <w:tc>
          <w:tcPr>
            <w:tcW w:w="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25</w:t>
            </w:r>
          </w:p>
        </w:tc>
        <w:tc>
          <w:tcPr>
            <w:tcW w:w="9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15</w:t>
            </w:r>
          </w:p>
        </w:tc>
        <w:tc>
          <w:tcPr>
            <w:tcW w:w="9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75</w:t>
            </w:r>
          </w:p>
        </w:tc>
        <w:tc>
          <w:tcPr>
            <w:tcW w:w="1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40</w:t>
            </w:r>
          </w:p>
        </w:tc>
        <w:tc>
          <w:tcPr>
            <w:tcW w:w="1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clear"/>
            <w:tcMar>
              <w:left w:w="30" w:type="dxa"/>
            </w:tcMar>
            <w:vAlign w:val="center"/>
          </w:tcPr>
          <w:p>
            <w:pPr>
              <w:pStyle w:val="Normal"/>
              <w:spacing w:before="0" w:after="160"/>
              <w:ind w:firstLine="567"/>
              <w:jc w:val="center"/>
              <w:rPr>
                <w:rFonts w:ascii="Times New Roman" w:hAnsi="Times New Roman" w:cs="Times New Roman"/>
                <w:sz w:val="24"/>
                <w:szCs w:val="24"/>
              </w:rPr>
            </w:pPr>
            <w:r>
              <w:rPr>
                <w:rFonts w:cs="Times New Roman" w:ascii="Times New Roman" w:hAnsi="Times New Roman"/>
                <w:sz w:val="24"/>
                <w:szCs w:val="24"/>
              </w:rPr>
              <w:t>15</w:t>
            </w:r>
          </w:p>
        </w:tc>
      </w:tr>
    </w:tbl>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При несоблюдении расстояния от мест содержания животных до жилых помещений в личном подсобном хозяйстве на приусадебном земельном участке владелец личного подсобного хозяйства обязан снизить до нормы количество содержащихся на приусадебном земельном участке сельскохозяйственных животных либо вынести содержание превышающего предельную норму количества животных за пределы поселения с регистрацией владельца личного подсобного хозяйства в качестве индивидуального предпринимателя или крестьянского (фермерского) хозяйства.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Не допускается содержание животных в жилых помещениях, на территории домовладения, границы которого непосредственно прилегают к общественным местам (детским садам, школам, паркам, лечебным учреждениям и др.). Нахождение животных за пределами подворья без надзора запрещено. Владелец животных не должен допускать загрязнения навозом и пометом дворов и окружающей территории, а в случае загрязнения немедленно устранить его.</w:t>
      </w:r>
    </w:p>
    <w:p>
      <w:pPr>
        <w:pStyle w:val="Normal"/>
        <w:spacing w:lineRule="auto" w:line="240" w:before="0" w:after="0"/>
        <w:ind w:firstLine="567"/>
        <w:jc w:val="both"/>
        <w:rPr>
          <w:rFonts w:ascii="Times New Roman" w:hAnsi="Times New Roman" w:eastAsia="Times New Roman" w:cs="Times New Roman"/>
          <w:sz w:val="24"/>
          <w:szCs w:val="24"/>
        </w:rPr>
      </w:pPr>
      <w:r>
        <w:rPr>
          <w:rFonts w:cs="Times New Roman" w:ascii="Times New Roman" w:hAnsi="Times New Roman"/>
          <w:sz w:val="24"/>
          <w:szCs w:val="24"/>
        </w:rPr>
        <w:t>Кровлю жилых домов и хозяйственных построек необходимо оборудовать снегоудерживающими и водоотводными устройствами и системами.</w:t>
      </w:r>
    </w:p>
    <w:p>
      <w:pPr>
        <w:pStyle w:val="Normal"/>
        <w:spacing w:lineRule="auto" w:line="240" w:before="0" w:after="0"/>
        <w:ind w:firstLine="567"/>
        <w:jc w:val="both"/>
        <w:rPr>
          <w:rFonts w:ascii="Times New Roman" w:hAnsi="Times New Roman" w:eastAsia="Tahoma" w:cs="Times New Roman"/>
          <w:sz w:val="24"/>
          <w:szCs w:val="24"/>
        </w:rPr>
      </w:pPr>
      <w:r>
        <w:rPr>
          <w:rFonts w:eastAsia="Times New Roman" w:cs="Times New Roman" w:ascii="Times New Roman" w:hAnsi="Times New Roman"/>
          <w:sz w:val="24"/>
          <w:szCs w:val="24"/>
          <w:lang w:bidi="ru-RU"/>
        </w:rPr>
        <w:t>Строительство 2-го и последующих жилых домов на одном земельном участке возможно после предоставления информации о технических условиях подключения (технологического присоединения) объектов капитального строительства к сетям инженерно</w:t>
        <w:softHyphen/>
        <w:t>-технического обеспечения.</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Общая площадь объектов капитального строительства нежилого назначения, относящихся к условно разрешенным видам использования, устанавливается в разрешении на условно-разрешенный вид использования, выдаваемом в порядке, установленном действующим законодательством.</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Участки усадебной, коттеджной, коттеджно-блокированной и садово-дачной застройки должны иметь ограждение. С уличной стороны ограждение участка может быть произвольной конструкции, высотой не более 2,5 метров. Конструкция и внешний вид ограждения должен соответствовать решениям фасадов и применяемым отделочным материалам домовладения, расположенного на ограждаемом участке. Рекомендуется конструкцию и высоту ограждения выполнять единообразным на протяжении одного квартала с обеих сторон улицы.</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По меже с соседним домовладением ограждение должно быть высотой не более 2-х метров и выполняться из свето-аэропрозрачного материала. Высота ограждения по меже с соседним домовладением может быть увеличена, а конструкция ограждения может быть заменена на глухую, при условии соблюдения норм инсоляции и освещенности жилых помещений и согласования конструкции и высоты ограждения с владельцами соседних домовладений.</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pPr>
        <w:pStyle w:val="Normal"/>
        <w:spacing w:lineRule="auto" w:line="240" w:before="0" w:after="0"/>
        <w:ind w:firstLine="567"/>
        <w:jc w:val="both"/>
        <w:rPr>
          <w:rFonts w:ascii="Times New Roman" w:hAnsi="Times New Roman" w:eastAsia="Tahoma" w:cs="Times New Roman"/>
          <w:spacing w:val="-4"/>
          <w:sz w:val="24"/>
          <w:szCs w:val="24"/>
        </w:rPr>
      </w:pPr>
      <w:r>
        <w:rPr>
          <w:rFonts w:eastAsia="Tahoma" w:cs="Times New Roman" w:ascii="Times New Roman" w:hAnsi="Times New Roman"/>
          <w:spacing w:val="-4"/>
          <w:sz w:val="24"/>
          <w:szCs w:val="24"/>
        </w:rPr>
        <w:t xml:space="preserve">Максимальный класс опасности по санитарной классификации объектов капитального строительства, размещаемых на территории - </w:t>
      </w:r>
      <w:r>
        <w:rPr>
          <w:rFonts w:eastAsia="Tahoma" w:cs="Times New Roman" w:ascii="Times New Roman" w:hAnsi="Times New Roman"/>
          <w:spacing w:val="-4"/>
          <w:sz w:val="24"/>
          <w:szCs w:val="24"/>
          <w:lang w:val="en-US"/>
        </w:rPr>
        <w:t>V</w:t>
      </w:r>
      <w:r>
        <w:rPr>
          <w:rFonts w:eastAsia="Tahoma" w:cs="Times New Roman" w:ascii="Times New Roman" w:hAnsi="Times New Roman"/>
          <w:spacing w:val="-4"/>
          <w:sz w:val="24"/>
          <w:szCs w:val="24"/>
        </w:rPr>
        <w:t xml:space="preserve"> класс.</w:t>
      </w:r>
    </w:p>
    <w:p>
      <w:pPr>
        <w:pStyle w:val="Normal"/>
        <w:tabs>
          <w:tab w:val="left" w:pos="142" w:leader="none"/>
        </w:tabs>
        <w:spacing w:lineRule="auto" w:line="240" w:before="0" w:after="0"/>
        <w:ind w:firstLine="567"/>
        <w:contextualSpacing/>
        <w:jc w:val="both"/>
        <w:rPr>
          <w:rFonts w:ascii="Times New Roman" w:hAnsi="Times New Roman" w:cs="Times New Roman"/>
          <w:spacing w:val="-10"/>
          <w:sz w:val="24"/>
          <w:szCs w:val="24"/>
        </w:rPr>
      </w:pPr>
      <w:r>
        <w:rPr>
          <w:rFonts w:cs="Times New Roman" w:ascii="Times New Roman" w:hAnsi="Times New Roman"/>
          <w:spacing w:val="-10"/>
          <w:sz w:val="24"/>
          <w:szCs w:val="24"/>
        </w:rPr>
        <w:t>На территории застройки индивидуальными усадебными жилыми домами запрещается обустройство и строительство стоянок для грузового транспорта, транспорта для перевозки людей, находящегося в личной собственности, кроме автотранспорта грузоподъемностью менее 1,5 тонны. Запрещается парковать личный грузовой транспорт на улицах сельского поселения, за исключением специализированных мест для парковки.</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Во встроенных или пристроенных к индивидуальному дому помещениях общественного назначения не допускается размещать магазины строительных материалов, магазины с наличием взрывоопасных веществ и материалов, а также предприятия бытового обслуживания, в которых применяются легковоспламеняющиеся жидкости.</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При освоении незастроенных территорий, предназначенных для застройки жилыми домами блокированного типа в случае отсутствия разработанного проекта планировки территории, Застройщику необходимо подготовить проект планировки территории в соответствии с действующими градостроительными требованиями и утвердить в установленном действующим законодательством порядке.</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Проектирование и строительство подводящих инженерно-технических коммуникаций к земельному участку, предназначенному для застройки блокированными жилыми домами выполняется за счет Застройщика при наличии технических условий на подключение к инженерным коммуникациям.</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Земельный участок должен быть огорожен до начала строительства с уличной стороны ограждением произвольной конструкции высотой до 2,5 м, по границе со смежными участками ограждение должно быть высотой не более 2,0. Высота ограждения по меже с соседним домовладением может быть увеличена, при условии согласования конструкции и высоты ограждения с владельцами соседних домовладений.</w:t>
      </w:r>
    </w:p>
    <w:p>
      <w:pPr>
        <w:pStyle w:val="Normal"/>
        <w:spacing w:lineRule="auto" w:line="240" w:before="0" w:after="0"/>
        <w:ind w:firstLine="567"/>
        <w:jc w:val="both"/>
        <w:rPr>
          <w:rFonts w:ascii="Times New Roman" w:hAnsi="Times New Roman" w:eastAsia="Tahoma" w:cs="Times New Roman"/>
          <w:spacing w:val="-4"/>
          <w:sz w:val="24"/>
          <w:szCs w:val="24"/>
        </w:rPr>
      </w:pPr>
      <w:r>
        <w:rPr>
          <w:rFonts w:cs="Times New Roman" w:ascii="Times New Roman" w:hAnsi="Times New Roman"/>
          <w:sz w:val="24"/>
          <w:szCs w:val="24"/>
        </w:rPr>
        <w:t>Противопожарные расстояния от наземных и наземно-подземных стоянок (парковок) автомобилей до жилых и общественных зданий следует принимать в соответствии с требованиями раздела 4 СП 4.13130.2013, от границ открытых плоскостных стоянок парковок) автомобилей до жилых или общественных зданий - по п.6.11.2 и п.6.11.3 СП 4.13130.2013</w:t>
      </w:r>
      <w:r>
        <w:rPr>
          <w:rFonts w:eastAsia="Tahoma" w:cs="Times New Roman" w:ascii="Times New Roman" w:hAnsi="Times New Roman"/>
          <w:spacing w:val="-4"/>
          <w:sz w:val="24"/>
          <w:szCs w:val="24"/>
        </w:rPr>
        <w:t>.</w:t>
      </w:r>
    </w:p>
    <w:p>
      <w:pPr>
        <w:pStyle w:val="Normal"/>
        <w:keepNext/>
        <w:keepLines/>
        <w:widowControl w:val="false"/>
        <w:numPr>
          <w:ilvl w:val="0"/>
          <w:numId w:val="0"/>
        </w:numPr>
        <w:spacing w:lineRule="auto" w:line="240" w:before="0" w:after="0"/>
        <w:ind w:firstLine="567"/>
        <w:outlineLvl w:val="1"/>
        <w:rPr>
          <w:rFonts w:ascii="Times New Roman" w:hAnsi="Times New Roman" w:eastAsia="Times New Roman" w:cs="Times New Roman"/>
          <w:b/>
          <w:b/>
          <w:bCs/>
          <w:i/>
          <w:i/>
          <w:sz w:val="24"/>
          <w:szCs w:val="24"/>
          <w:lang w:bidi="ru-RU"/>
        </w:rPr>
      </w:pPr>
      <w:bookmarkStart w:id="85" w:name="_Toc485621477"/>
      <w:bookmarkEnd w:id="85"/>
      <w:r>
        <w:rPr>
          <w:rFonts w:eastAsia="Times New Roman" w:cs="Times New Roman" w:ascii="Times New Roman" w:hAnsi="Times New Roman"/>
          <w:b/>
          <w:bCs/>
          <w:i/>
          <w:sz w:val="24"/>
          <w:szCs w:val="24"/>
          <w:lang w:bidi="ru-RU"/>
        </w:rPr>
        <w:t>Статья 50. Ж-3. Зона застройки среднеэтажными жилыми домами (5-8 этажей)</w:t>
      </w:r>
    </w:p>
    <w:p>
      <w:pPr>
        <w:pStyle w:val="Normal"/>
        <w:widowControl w:val="false"/>
        <w:spacing w:lineRule="exact" w:line="274"/>
        <w:ind w:firstLine="600"/>
        <w:jc w:val="both"/>
        <w:rPr>
          <w:rFonts w:ascii="Times New Roman" w:hAnsi="Times New Roman" w:eastAsia="Times New Roman" w:cs="Times New Roman"/>
          <w:lang w:bidi="ru-RU"/>
        </w:rPr>
      </w:pPr>
      <w:r>
        <w:rPr>
          <w:rFonts w:eastAsia="Times New Roman" w:cs="Times New Roman" w:ascii="Times New Roman" w:hAnsi="Times New Roman"/>
          <w:lang w:bidi="ru-RU"/>
        </w:rPr>
        <w:t>Зона застройки среднеэтажными жилыми домами выделяется с целью развития на основе существующих и вновь осваиваемых территорий среднеэтажной застройки зон комфортного проживания, развития сферы социального и культурно-бытового облуживания, обеспечивающих потребности жителей указанных территорий, создание условий для размещения необходимых объектов инженерной инфраструктуры и благоустройства территории.</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Виды разрешенного использования земельных участков и объектов капитального строительства.</w:t>
      </w:r>
    </w:p>
    <w:tbl>
      <w:tblPr>
        <w:tblStyle w:val="af2"/>
        <w:tblW w:w="9060" w:type="dxa"/>
        <w:jc w:val="left"/>
        <w:tblInd w:w="-35" w:type="dxa"/>
        <w:tblCellMar>
          <w:top w:w="0" w:type="dxa"/>
          <w:left w:w="73" w:type="dxa"/>
          <w:bottom w:w="0" w:type="dxa"/>
          <w:right w:w="108" w:type="dxa"/>
        </w:tblCellMar>
        <w:tblLook w:firstRow="1" w:noVBand="1" w:lastRow="0" w:firstColumn="1" w:lastColumn="0" w:noHBand="0" w:val="04a0"/>
      </w:tblPr>
      <w:tblGrid>
        <w:gridCol w:w="7238"/>
        <w:gridCol w:w="1821"/>
      </w:tblGrid>
      <w:tr>
        <w:trPr/>
        <w:tc>
          <w:tcPr>
            <w:tcW w:w="723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Код</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7238" w:type="dxa"/>
            <w:tcBorders/>
            <w:shd w:fill="auto" w:val="clear"/>
            <w:tcMar>
              <w:left w:w="73" w:type="dxa"/>
            </w:tcMar>
          </w:tcPr>
          <w:p>
            <w:pPr>
              <w:pStyle w:val="Normal"/>
              <w:spacing w:lineRule="auto" w:line="240" w:before="0" w:after="0"/>
              <w:ind w:firstLine="567"/>
              <w:jc w:val="both"/>
              <w:rPr>
                <w:rFonts w:ascii="Times New Roman" w:hAnsi="Times New Roman" w:cs="Times New Roman"/>
                <w:b/>
                <w:b/>
                <w:sz w:val="24"/>
                <w:szCs w:val="24"/>
              </w:rPr>
            </w:pPr>
            <w:r>
              <w:rPr>
                <w:rFonts w:eastAsia="Times New Roman" w:cs="Times New Roman" w:ascii="Times New Roman" w:hAnsi="Times New Roman"/>
                <w:sz w:val="24"/>
                <w:szCs w:val="24"/>
                <w:lang w:bidi="ru-RU"/>
              </w:rPr>
              <w:t>Малоэтажная многоквартирная жилая застройка</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2.1.1</w:t>
            </w:r>
          </w:p>
        </w:tc>
      </w:tr>
      <w:tr>
        <w:trPr>
          <w:trHeight w:val="255" w:hRule="atLeast"/>
        </w:trPr>
        <w:tc>
          <w:tcPr>
            <w:tcW w:w="7238"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imes New Roman" w:cs="Times New Roman" w:ascii="Times New Roman" w:hAnsi="Times New Roman"/>
                <w:sz w:val="24"/>
                <w:szCs w:val="24"/>
                <w:lang w:bidi="ru-RU"/>
              </w:rPr>
              <w:t>Блокированная жилая застройка</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2.3</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Среднеэтажная жилая застройка</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2.5</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imes New Roman" w:cs="Times New Roman" w:ascii="Times New Roman" w:hAnsi="Times New Roman"/>
                <w:sz w:val="24"/>
                <w:szCs w:val="24"/>
                <w:lang w:bidi="ru-RU"/>
              </w:rPr>
              <w:t>Передвижное жилье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2.4</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Коммунальное обслуживание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3.1</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Социальное обслуживание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3.2</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Бытовое обслуживание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3.3</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Амбулаторно-поликлиническое обслуживание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3.4.1</w:t>
            </w:r>
          </w:p>
        </w:tc>
      </w:tr>
      <w:tr>
        <w:trPr/>
        <w:tc>
          <w:tcPr>
            <w:tcW w:w="723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Дошкольное, начальное и среднее общее образование</w:t>
            </w:r>
          </w:p>
        </w:tc>
        <w:tc>
          <w:tcPr>
            <w:tcW w:w="1821"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3.5.1</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Культурное развитие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3.6</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Религиозное использование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3.7</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Общественное управление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3.8</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Деловое управление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4.1</w:t>
            </w:r>
          </w:p>
        </w:tc>
      </w:tr>
      <w:tr>
        <w:trPr/>
        <w:tc>
          <w:tcPr>
            <w:tcW w:w="723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Магазины</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lang w:val="en-US"/>
              </w:rPr>
            </w:pPr>
            <w:r>
              <w:rPr>
                <w:rFonts w:cs="Times New Roman" w:ascii="Times New Roman" w:hAnsi="Times New Roman"/>
                <w:sz w:val="24"/>
                <w:szCs w:val="24"/>
                <w:lang w:val="en-US"/>
              </w:rPr>
              <w:t>4.4</w:t>
            </w:r>
          </w:p>
        </w:tc>
      </w:tr>
      <w:tr>
        <w:trPr/>
        <w:tc>
          <w:tcPr>
            <w:tcW w:w="723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Банковская и страховая деятельность</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4.5</w:t>
            </w:r>
          </w:p>
        </w:tc>
      </w:tr>
      <w:tr>
        <w:trPr/>
        <w:tc>
          <w:tcPr>
            <w:tcW w:w="723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Общественное питание</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4.6</w:t>
            </w:r>
          </w:p>
        </w:tc>
      </w:tr>
      <w:tr>
        <w:trPr/>
        <w:tc>
          <w:tcPr>
            <w:tcW w:w="723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1821"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7.2</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Земельные участки (территории) общего пользования</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12.0</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Пищевая промышленность</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6.4</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3. Вспомогательные виды разрешенного использования,</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Объекты гаражного </w:t>
            </w:r>
            <w:r>
              <w:rPr>
                <w:rFonts w:eastAsia="Times New Roman" w:cs="Times New Roman" w:ascii="Times New Roman" w:hAnsi="Times New Roman"/>
                <w:sz w:val="24"/>
                <w:szCs w:val="24"/>
              </w:rPr>
              <w:t>назначения</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2.7.1</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Обслуживание автотранспорта</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4.9</w:t>
            </w:r>
          </w:p>
        </w:tc>
      </w:tr>
      <w:tr>
        <w:trPr/>
        <w:tc>
          <w:tcPr>
            <w:tcW w:w="7238"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Спорт</w:t>
            </w:r>
          </w:p>
        </w:tc>
        <w:tc>
          <w:tcPr>
            <w:tcW w:w="1821"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5.1</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1. Предельные (минимальные и (или) максимальные) размеры земельных участков, в том числе их площадь:</w:t>
      </w:r>
    </w:p>
    <w:tbl>
      <w:tblPr>
        <w:tblStyle w:val="af2"/>
        <w:tblW w:w="9060" w:type="dxa"/>
        <w:jc w:val="left"/>
        <w:tblInd w:w="-35" w:type="dxa"/>
        <w:tblCellMar>
          <w:top w:w="0" w:type="dxa"/>
          <w:left w:w="73" w:type="dxa"/>
          <w:bottom w:w="0" w:type="dxa"/>
          <w:right w:w="108" w:type="dxa"/>
        </w:tblCellMar>
        <w:tblLook w:firstRow="1" w:noVBand="1" w:lastRow="0" w:firstColumn="1" w:lastColumn="0" w:noHBand="0" w:val="04a0"/>
      </w:tblPr>
      <w:tblGrid>
        <w:gridCol w:w="4814"/>
        <w:gridCol w:w="4245"/>
      </w:tblGrid>
      <w:tr>
        <w:trPr/>
        <w:tc>
          <w:tcPr>
            <w:tcW w:w="4814"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4245"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Предельные размеры земельных участков (мин.-макс.), кв.м</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4814" w:type="dxa"/>
            <w:tcBorders/>
            <w:shd w:fill="auto" w:val="clear"/>
            <w:tcMar>
              <w:left w:w="73" w:type="dxa"/>
            </w:tcMar>
          </w:tcPr>
          <w:p>
            <w:pPr>
              <w:pStyle w:val="Normal"/>
              <w:spacing w:lineRule="auto" w:line="240" w:before="0" w:after="0"/>
              <w:ind w:firstLine="567"/>
              <w:jc w:val="both"/>
              <w:rPr>
                <w:rFonts w:ascii="Times New Roman" w:hAnsi="Times New Roman" w:cs="Times New Roman"/>
                <w:b/>
                <w:b/>
                <w:sz w:val="24"/>
                <w:szCs w:val="24"/>
              </w:rPr>
            </w:pPr>
            <w:r>
              <w:rPr>
                <w:rFonts w:eastAsia="Times New Roman" w:cs="Times New Roman" w:ascii="Times New Roman" w:hAnsi="Times New Roman"/>
                <w:sz w:val="24"/>
                <w:szCs w:val="24"/>
                <w:lang w:bidi="ru-RU"/>
              </w:rPr>
              <w:t>Малоэтажная многоквартирная жилая застройка</w:t>
            </w:r>
          </w:p>
        </w:tc>
        <w:tc>
          <w:tcPr>
            <w:tcW w:w="4245" w:type="dxa"/>
            <w:tcBorders/>
            <w:shd w:fill="auto" w:val="clear"/>
            <w:tcMar>
              <w:left w:w="7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Минимальная площадь земельного участка жилого дома малоэтажная многоквартирная жилая застройка из расчета 17,3 кв. м на 1 чел. при уплотнении существующей застройки 11,7 кв. м на 1 чел. в проектируемой застройке</w:t>
            </w:r>
          </w:p>
        </w:tc>
      </w:tr>
      <w:tr>
        <w:trPr>
          <w:trHeight w:val="255" w:hRule="atLeast"/>
        </w:trPr>
        <w:tc>
          <w:tcPr>
            <w:tcW w:w="4814"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imes New Roman" w:cs="Times New Roman" w:ascii="Times New Roman" w:hAnsi="Times New Roman"/>
                <w:sz w:val="24"/>
                <w:szCs w:val="24"/>
                <w:lang w:bidi="ru-RU"/>
              </w:rPr>
              <w:t>Блокированная жилая застройка</w:t>
            </w:r>
          </w:p>
        </w:tc>
        <w:tc>
          <w:tcPr>
            <w:tcW w:w="4245" w:type="dxa"/>
            <w:tcBorders/>
            <w:shd w:fill="auto" w:val="clear"/>
            <w:tcMar>
              <w:left w:w="73" w:type="dxa"/>
            </w:tcMar>
          </w:tcPr>
          <w:p>
            <w:pPr>
              <w:pStyle w:val="Normal"/>
              <w:spacing w:lineRule="auto" w:line="240" w:before="0" w:after="0"/>
              <w:jc w:val="both"/>
              <w:rPr>
                <w:rFonts w:ascii="Times New Roman" w:hAnsi="Times New Roman" w:eastAsia="Times New Roman" w:cs="Times New Roman"/>
                <w:sz w:val="24"/>
                <w:szCs w:val="24"/>
                <w:lang w:bidi="hi-IN"/>
              </w:rPr>
            </w:pPr>
            <w:r>
              <w:rPr>
                <w:rFonts w:eastAsia="Tahoma" w:cs="Times New Roman" w:ascii="Times New Roman" w:hAnsi="Times New Roman"/>
                <w:sz w:val="24"/>
                <w:szCs w:val="24"/>
                <w:lang w:bidi="ru-RU"/>
              </w:rPr>
              <w:t xml:space="preserve">Минимальный размер земельного участка в сложившейся застройке </w:t>
            </w:r>
            <w:r>
              <w:rPr>
                <w:rFonts w:eastAsia="Times New Roman" w:cs="Times New Roman" w:ascii="Times New Roman" w:hAnsi="Times New Roman"/>
                <w:sz w:val="24"/>
                <w:szCs w:val="24"/>
                <w:lang w:bidi="hi-IN"/>
              </w:rPr>
              <w:t xml:space="preserve">блокированного и коттеджного типа для одного блока коттеджа 300 </w:t>
            </w:r>
            <w:r>
              <w:rPr>
                <w:rFonts w:eastAsia="Tahoma" w:cs="Times New Roman" w:ascii="Times New Roman" w:hAnsi="Times New Roman"/>
                <w:sz w:val="24"/>
                <w:szCs w:val="24"/>
              </w:rPr>
              <w:t>м</w:t>
            </w:r>
            <w:r>
              <w:rPr>
                <w:rFonts w:eastAsia="Tahoma" w:cs="Times New Roman" w:ascii="Times New Roman" w:hAnsi="Times New Roman"/>
                <w:sz w:val="24"/>
                <w:szCs w:val="24"/>
                <w:vertAlign w:val="superscript"/>
              </w:rPr>
              <w:t>2</w:t>
            </w:r>
            <w:r>
              <w:rPr>
                <w:rFonts w:eastAsia="Times New Roman" w:cs="Times New Roman" w:ascii="Times New Roman" w:hAnsi="Times New Roman"/>
                <w:sz w:val="24"/>
                <w:szCs w:val="24"/>
                <w:lang w:bidi="hi-IN"/>
              </w:rPr>
              <w:t>.</w:t>
            </w:r>
          </w:p>
          <w:p>
            <w:pPr>
              <w:pStyle w:val="Normal"/>
              <w:spacing w:lineRule="auto" w:line="240" w:before="0" w:after="0"/>
              <w:jc w:val="both"/>
              <w:rPr>
                <w:rFonts w:ascii="Times New Roman" w:hAnsi="Times New Roman" w:cs="Times New Roman"/>
                <w:sz w:val="24"/>
                <w:szCs w:val="24"/>
              </w:rPr>
            </w:pPr>
            <w:r>
              <w:rPr>
                <w:rFonts w:eastAsia="Tahoma" w:cs="Times New Roman" w:ascii="Times New Roman" w:hAnsi="Times New Roman"/>
                <w:sz w:val="24"/>
                <w:szCs w:val="24"/>
                <w:lang w:bidi="ru-RU"/>
              </w:rPr>
              <w:t xml:space="preserve">Минимальный размер земельного участка для </w:t>
            </w:r>
            <w:r>
              <w:rPr>
                <w:rFonts w:eastAsia="Times New Roman" w:cs="Times New Roman" w:ascii="Times New Roman" w:hAnsi="Times New Roman"/>
                <w:sz w:val="24"/>
                <w:szCs w:val="24"/>
                <w:lang w:bidi="hi-IN"/>
              </w:rPr>
              <w:t xml:space="preserve">блокированного и коттеджного типа для вновь осваиваемых территорий для одного блока коттеджа (для домов с количеством от 3 до 10) - 150 </w:t>
            </w:r>
            <w:r>
              <w:rPr>
                <w:rFonts w:eastAsia="Tahoma" w:cs="Times New Roman" w:ascii="Times New Roman" w:hAnsi="Times New Roman"/>
                <w:sz w:val="24"/>
                <w:szCs w:val="24"/>
              </w:rPr>
              <w:t>м</w:t>
            </w:r>
            <w:r>
              <w:rPr>
                <w:rFonts w:eastAsia="Tahoma" w:cs="Times New Roman" w:ascii="Times New Roman" w:hAnsi="Times New Roman"/>
                <w:sz w:val="24"/>
                <w:szCs w:val="24"/>
                <w:vertAlign w:val="superscript"/>
              </w:rPr>
              <w:t>2</w:t>
            </w:r>
          </w:p>
        </w:tc>
      </w:tr>
      <w:tr>
        <w:trPr>
          <w:trHeight w:val="255" w:hRule="atLeast"/>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Среднеэтажная жилая застройка</w:t>
            </w:r>
          </w:p>
        </w:tc>
        <w:tc>
          <w:tcPr>
            <w:tcW w:w="4245" w:type="dxa"/>
            <w:tcBorders/>
            <w:shd w:fill="auto" w:val="clear"/>
            <w:tcMar>
              <w:left w:w="73" w:type="dxa"/>
            </w:tcMar>
          </w:tcPr>
          <w:p>
            <w:pPr>
              <w:pStyle w:val="Normal"/>
              <w:spacing w:lineRule="auto" w:line="240" w:before="0" w:after="0"/>
              <w:jc w:val="both"/>
              <w:rPr>
                <w:rFonts w:ascii="Times New Roman" w:hAnsi="Times New Roman" w:eastAsia="Tahoma" w:cs="Times New Roman"/>
                <w:sz w:val="24"/>
                <w:szCs w:val="24"/>
                <w:lang w:bidi="ru-RU"/>
              </w:rPr>
            </w:pPr>
            <w:r>
              <w:rPr>
                <w:rFonts w:cs="Times New Roman" w:ascii="Times New Roman" w:hAnsi="Times New Roman"/>
                <w:sz w:val="24"/>
                <w:szCs w:val="24"/>
              </w:rPr>
              <w:t>Минимальная площадь земельного участка жилого дома среднеэтажная жилая застройка из расчета 17,3 кв. м на 1 чел. при уплотнении существующей застройки 11,7 кв. м на 1 чел. в проектируемой застройке</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imes New Roman" w:cs="Times New Roman" w:ascii="Times New Roman" w:hAnsi="Times New Roman"/>
                <w:sz w:val="24"/>
                <w:szCs w:val="24"/>
                <w:lang w:bidi="ru-RU"/>
              </w:rPr>
              <w:t>Передвижное жилье</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Коммунальное обслуживание</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Социальное обслуживание</w:t>
            </w:r>
          </w:p>
        </w:tc>
        <w:tc>
          <w:tcPr>
            <w:tcW w:w="4245"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cs="Times New Roman" w:ascii="Times New Roman" w:hAnsi="Times New Roman"/>
                <w:sz w:val="24"/>
                <w:szCs w:val="24"/>
              </w:rPr>
              <w:t>минимальная площадь земельного участка 500 кв.м</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Бытовое обслуживание</w:t>
            </w:r>
          </w:p>
        </w:tc>
        <w:tc>
          <w:tcPr>
            <w:tcW w:w="4245"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cs="Times New Roman" w:ascii="Times New Roman" w:hAnsi="Times New Roman"/>
                <w:sz w:val="24"/>
                <w:szCs w:val="24"/>
              </w:rPr>
              <w:t>10-5000 кв.м</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Амбулаторно-поликлиническое обслуживание</w:t>
            </w:r>
          </w:p>
        </w:tc>
        <w:tc>
          <w:tcPr>
            <w:tcW w:w="4245"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Минимальная площадь земельного участка 2000 кв.м и 1000 кв.м на каждые 100 посещений в смену</w:t>
            </w:r>
          </w:p>
        </w:tc>
      </w:tr>
      <w:tr>
        <w:trPr/>
        <w:tc>
          <w:tcPr>
            <w:tcW w:w="4814"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Дошкольное, начальное и среднее общее образование</w:t>
            </w:r>
          </w:p>
        </w:tc>
        <w:tc>
          <w:tcPr>
            <w:tcW w:w="4245" w:type="dxa"/>
            <w:tcBorders/>
            <w:shd w:fill="auto" w:val="clear"/>
            <w:tcMar>
              <w:left w:w="73" w:type="dxa"/>
            </w:tcMar>
            <w:vAlign w:val="center"/>
          </w:tcPr>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Размер земельного участка детского дошкольного учреждения, при вместимости:</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1) до 100 мест - 40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2) от 100 мест -35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3) от 500 мест - 30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Размер земельного участка общеобразовательного учреждения, при вместимости:</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1) до 400 мест - 50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2) 400 - 500 мест - 60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3) 500 - 600 мест - 50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4) 600 - 800 мест - 40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5) 800 - 1100 мест - 33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6) 1100 - 1500 мест - 21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7) 1500 - 2000 мест - 17 кв.м на 1 место;</w:t>
            </w:r>
          </w:p>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8) более 2000 мест - 16 кв.м на 1 место.</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Культурное развитие</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Минимальный размер земельного участка 200 кв.м</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Религиозное использование</w:t>
            </w:r>
          </w:p>
        </w:tc>
        <w:tc>
          <w:tcPr>
            <w:tcW w:w="4245" w:type="dxa"/>
            <w:tcBorders/>
            <w:shd w:fill="auto" w:val="clear"/>
            <w:tcMar>
              <w:left w:w="73" w:type="dxa"/>
            </w:tcMar>
          </w:tcPr>
          <w:p>
            <w:pPr>
              <w:pStyle w:val="Normal"/>
              <w:spacing w:lineRule="auto" w:line="240" w:before="0" w:after="0"/>
              <w:jc w:val="both"/>
              <w:rPr>
                <w:rFonts w:ascii="Times New Roman" w:hAnsi="Times New Roman" w:eastAsia="Tahoma" w:cs="Times New Roman"/>
                <w:sz w:val="24"/>
                <w:szCs w:val="24"/>
              </w:rPr>
            </w:pPr>
            <w:r>
              <w:rPr>
                <w:rFonts w:eastAsia="Tahoma" w:cs="Times New Roman" w:ascii="Times New Roman" w:hAnsi="Times New Roman"/>
                <w:sz w:val="24"/>
                <w:szCs w:val="24"/>
              </w:rPr>
              <w:t>Размеры земельных участков храмовых комплексов, включающих основные здания и сооружения богослужебного и вспомогательного назначения, принимаются исходя из удельного показателя - 7 кв.м площади участка на единицу вместимости храма.</w:t>
            </w:r>
          </w:p>
          <w:p>
            <w:pPr>
              <w:pStyle w:val="Normal"/>
              <w:widowControl w:val="false"/>
              <w:spacing w:lineRule="auto" w:line="240" w:before="0" w:after="0"/>
              <w:jc w:val="both"/>
              <w:rPr>
                <w:rFonts w:ascii="Times New Roman" w:hAnsi="Times New Roman" w:cs="Times New Roman"/>
                <w:sz w:val="24"/>
                <w:szCs w:val="24"/>
              </w:rPr>
            </w:pPr>
            <w:r>
              <w:rPr>
                <w:rFonts w:eastAsia="Times New Roman" w:cs="Times New Roman" w:ascii="Times New Roman" w:hAnsi="Times New Roman"/>
                <w:sz w:val="24"/>
                <w:szCs w:val="24"/>
              </w:rPr>
              <w:t>При строительстве храмовых комплексов в особых условиях: стеснённости (затеснённая застройка), допускается уменьшение удельного показателя земельного участка (кв.м на единицу вместимости), но не более чем на 25%</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Общественное управление</w:t>
            </w:r>
          </w:p>
        </w:tc>
        <w:tc>
          <w:tcPr>
            <w:tcW w:w="4245" w:type="dxa"/>
            <w:tcBorders/>
            <w:shd w:fill="auto" w:val="clear"/>
            <w:tcMar>
              <w:left w:w="73" w:type="dxa"/>
            </w:tcMar>
          </w:tcPr>
          <w:p>
            <w:pPr>
              <w:pStyle w:val="Normal"/>
              <w:spacing w:lineRule="auto" w:line="240" w:before="0" w:after="0"/>
              <w:jc w:val="both"/>
              <w:rPr>
                <w:rFonts w:ascii="Times New Roman" w:hAnsi="Times New Roman" w:cs="Times New Roman"/>
                <w:sz w:val="24"/>
                <w:szCs w:val="24"/>
              </w:rPr>
            </w:pPr>
            <w:r>
              <w:rPr>
                <w:rFonts w:eastAsia="Times New Roman" w:cs="Times New Roman" w:ascii="Times New Roman" w:hAnsi="Times New Roman"/>
                <w:sz w:val="24"/>
                <w:szCs w:val="24"/>
                <w:lang w:bidi="ru-RU"/>
              </w:rPr>
              <w:t>Минимальный размер земельного участка 1200 кв.м</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Деловое управление</w:t>
            </w:r>
          </w:p>
        </w:tc>
        <w:tc>
          <w:tcPr>
            <w:tcW w:w="4245" w:type="dxa"/>
            <w:tcBorders/>
            <w:shd w:fill="auto" w:val="clear"/>
            <w:tcMar>
              <w:left w:w="7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минимальная площадь земельного участка 1200 кв.м</w:t>
            </w:r>
          </w:p>
        </w:tc>
      </w:tr>
      <w:tr>
        <w:trPr/>
        <w:tc>
          <w:tcPr>
            <w:tcW w:w="4814"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Магазины</w:t>
            </w:r>
          </w:p>
        </w:tc>
        <w:tc>
          <w:tcPr>
            <w:tcW w:w="4245" w:type="dxa"/>
            <w:tcBorders/>
            <w:shd w:fill="auto" w:val="clear"/>
            <w:tcMar>
              <w:left w:w="73" w:type="dxa"/>
            </w:tcMar>
          </w:tcPr>
          <w:p>
            <w:pPr>
              <w:pStyle w:val="Normal"/>
              <w:spacing w:lineRule="auto" w:line="240" w:before="0" w:after="0"/>
              <w:jc w:val="both"/>
              <w:rPr>
                <w:rFonts w:ascii="Times New Roman" w:hAnsi="Times New Roman" w:cs="Times New Roman"/>
                <w:sz w:val="24"/>
                <w:szCs w:val="24"/>
              </w:rPr>
            </w:pPr>
            <w:r>
              <w:rPr>
                <w:rFonts w:cs="Times New Roman" w:ascii="Times New Roman" w:hAnsi="Times New Roman"/>
                <w:sz w:val="24"/>
                <w:szCs w:val="24"/>
              </w:rPr>
              <w:t>Максимальная площадь земельного участка 1600 кв.м, из расчета 800 кв.м участка на 100 кв. м торговой площади</w:t>
            </w:r>
          </w:p>
        </w:tc>
      </w:tr>
      <w:tr>
        <w:trPr/>
        <w:tc>
          <w:tcPr>
            <w:tcW w:w="4814"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Банковская и страховая деятельность</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cs="Times New Roman" w:ascii="Times New Roman" w:hAnsi="Times New Roman"/>
                <w:sz w:val="24"/>
                <w:szCs w:val="24"/>
              </w:rPr>
              <w:t>500-2400 кв.м</w:t>
            </w:r>
          </w:p>
        </w:tc>
      </w:tr>
      <w:tr>
        <w:trPr/>
        <w:tc>
          <w:tcPr>
            <w:tcW w:w="4814"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Общественное питание</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cs="Times New Roman" w:ascii="Times New Roman" w:hAnsi="Times New Roman"/>
                <w:sz w:val="24"/>
                <w:szCs w:val="24"/>
              </w:rPr>
              <w:t>500-2300 кв.м</w:t>
            </w:r>
          </w:p>
        </w:tc>
      </w:tr>
      <w:tr>
        <w:trPr/>
        <w:tc>
          <w:tcPr>
            <w:tcW w:w="4814"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Земельные участки (территории) общего пользования</w:t>
            </w:r>
          </w:p>
        </w:tc>
        <w:tc>
          <w:tcPr>
            <w:tcW w:w="4245"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Пищевая промышленность</w:t>
            </w:r>
          </w:p>
        </w:tc>
        <w:tc>
          <w:tcPr>
            <w:tcW w:w="4245" w:type="dxa"/>
            <w:tcBorders/>
            <w:shd w:fill="auto" w:val="clear"/>
            <w:tcMar>
              <w:left w:w="73" w:type="dxa"/>
            </w:tcMar>
          </w:tcPr>
          <w:p>
            <w:pPr>
              <w:pStyle w:val="Normal"/>
              <w:spacing w:lineRule="auto" w:line="240" w:before="0" w:after="0"/>
              <w:jc w:val="both"/>
              <w:rPr>
                <w:rFonts w:ascii="Times New Roman" w:hAnsi="Times New Roman" w:cs="Times New Roman"/>
                <w:sz w:val="24"/>
                <w:szCs w:val="24"/>
              </w:rPr>
            </w:pPr>
            <w:r>
              <w:rPr>
                <w:rFonts w:eastAsia="Times New Roman" w:cs="Times New Roman" w:ascii="Times New Roman" w:hAnsi="Times New Roman"/>
                <w:sz w:val="24"/>
                <w:szCs w:val="24"/>
                <w:lang w:bidi="ru-RU"/>
              </w:rPr>
              <w:t>Минимальная площадь земельного участка 700 кв.м</w:t>
            </w:r>
          </w:p>
        </w:tc>
      </w:tr>
      <w:tr>
        <w:trPr/>
        <w:tc>
          <w:tcPr>
            <w:tcW w:w="9059"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3. Вспомогательные виды разрешенного использования,</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Объекты гаражного </w:t>
            </w:r>
            <w:r>
              <w:rPr>
                <w:rFonts w:eastAsia="Times New Roman" w:cs="Times New Roman" w:ascii="Times New Roman" w:hAnsi="Times New Roman"/>
                <w:sz w:val="24"/>
                <w:szCs w:val="24"/>
              </w:rPr>
              <w:t>назначения</w:t>
            </w:r>
          </w:p>
        </w:tc>
        <w:tc>
          <w:tcPr>
            <w:tcW w:w="4245" w:type="dxa"/>
            <w:tcBorders/>
            <w:shd w:fill="auto" w:val="clear"/>
            <w:tcMar>
              <w:left w:w="73" w:type="dxa"/>
            </w:tcMar>
          </w:tcPr>
          <w:p>
            <w:pPr>
              <w:pStyle w:val="Normal"/>
              <w:spacing w:lineRule="auto" w:line="240" w:before="0" w:after="0"/>
              <w:rPr/>
            </w:pPr>
            <w:r>
              <w:rPr>
                <w:rFonts w:eastAsia="Times New Roman" w:cs="Times New Roman" w:ascii="Times New Roman" w:hAnsi="Times New Roman"/>
                <w:sz w:val="24"/>
                <w:szCs w:val="24"/>
                <w:lang w:bidi="ru-RU"/>
              </w:rPr>
              <w:t>15-60 кв.м.</w:t>
            </w:r>
          </w:p>
        </w:tc>
      </w:tr>
      <w:tr>
        <w:trPr/>
        <w:tc>
          <w:tcPr>
            <w:tcW w:w="4814" w:type="dxa"/>
            <w:tcBorders/>
            <w:shd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Обслуживание автотранспорта</w:t>
            </w:r>
          </w:p>
        </w:tc>
        <w:tc>
          <w:tcPr>
            <w:tcW w:w="4245" w:type="dxa"/>
            <w:tcBorders/>
            <w:shd w:fill="auto" w:val="clear"/>
            <w:tcMar>
              <w:left w:w="73" w:type="dxa"/>
            </w:tcMar>
          </w:tcPr>
          <w:p>
            <w:pPr>
              <w:pStyle w:val="Normal"/>
              <w:spacing w:lineRule="auto" w:line="240" w:before="0" w:after="0"/>
              <w:rPr/>
            </w:pPr>
            <w:r>
              <w:rPr>
                <w:rFonts w:eastAsia="Times New Roman" w:cs="Times New Roman" w:ascii="Times New Roman" w:hAnsi="Times New Roman"/>
                <w:sz w:val="24"/>
                <w:szCs w:val="24"/>
                <w:lang w:bidi="ru-RU"/>
              </w:rPr>
              <w:t>15-60 кв.м.</w:t>
            </w:r>
          </w:p>
        </w:tc>
      </w:tr>
      <w:tr>
        <w:trPr/>
        <w:tc>
          <w:tcPr>
            <w:tcW w:w="4814" w:type="dxa"/>
            <w:tcBorders/>
            <w:shd w:color="auto" w:fill="auto" w:val="clear"/>
            <w:tcMar>
              <w:left w:w="73" w:type="dxa"/>
            </w:tcMa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Спорт</w:t>
            </w:r>
          </w:p>
        </w:tc>
        <w:tc>
          <w:tcPr>
            <w:tcW w:w="4245" w:type="dxa"/>
            <w:tcBorders/>
            <w:shd w:color="auto"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700-10000 кв.м</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567"/>
        <w:jc w:val="both"/>
        <w:rPr>
          <w:rFonts w:ascii="Times New Roman" w:hAnsi="Times New Roman" w:eastAsia="Times New Roman" w:cs="Times New Roman"/>
          <w:sz w:val="24"/>
          <w:szCs w:val="24"/>
          <w:lang w:bidi="hi-IN"/>
        </w:rPr>
      </w:pPr>
      <w:r>
        <w:rPr>
          <w:rFonts w:eastAsia="Times New Roman" w:cs="Times New Roman" w:ascii="Times New Roman" w:hAnsi="Times New Roman"/>
          <w:sz w:val="24"/>
          <w:szCs w:val="24"/>
          <w:lang w:bidi="hi-IN"/>
        </w:rPr>
        <w:t>Площадь земельных участков для выравнивания красной линии улицы и до закрепления земельного участка к основному участку считать равной в сложившихся границах пользования, целевое назначение - то же, что и целевое назначение основного участка.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b/>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Минимальный отступ от красной линии улиц не менее чем на 5 м, от красной линии проездов - не менее чем на 3 м.</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По красной линии допускается размещать жилые здания со встроенными в первые этажи или пристроенными помещениями общественного назначения, а на жилых улицах в условиях реконструкции сложившейся застройки - жилые здания с квартирами в первых этажах.</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Отступ от красных линий для школ и детских дошкольных учреждений, размещаемых в отдельных зданиях - не менее 25 м, в реконструируемых кварталах - не менее 15 м.</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Расстояние от хозяйственных построек до красных линий улиц и проездов должно быть не менее 5 м. Минимальное расстояние от хозяйственных построек до границ участка должно быть не менее 1 м.</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Расстояние от окон жилых комнат до стен соседнего дома и хозяйственных построек, расположенных на соседних земельных участках, должно быть не менее 6 м. Минимальное расстояние от границ соседнего участка до основного строения - не должно быть менее 3 м, до хозяйственных построек - менее 1 м.</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Минимальное расстояние от постройки для содержания скота и птицы до границ соседнего участка - 4 м; от других построек (бани, гаража и др.) - 1 м; от стволов высокорослых деревьев - 4 м; среднерослых - 2 м; от кустарника - 1 м.</w:t>
      </w:r>
    </w:p>
    <w:p>
      <w:pPr>
        <w:pStyle w:val="Normal"/>
        <w:spacing w:lineRule="auto" w:line="240" w:before="0" w:after="0"/>
        <w:ind w:firstLine="567"/>
        <w:jc w:val="both"/>
        <w:rPr>
          <w:rFonts w:ascii="Times New Roman" w:hAnsi="Times New Roman" w:cs="Times New Roman"/>
          <w:sz w:val="24"/>
          <w:szCs w:val="24"/>
        </w:rPr>
      </w:pPr>
      <w:r>
        <w:rPr>
          <w:rFonts w:eastAsia="Tahoma" w:cs="Times New Roman" w:ascii="Times New Roman" w:hAnsi="Times New Roman"/>
          <w:sz w:val="24"/>
          <w:szCs w:val="24"/>
        </w:rPr>
        <w:t xml:space="preserve">Размещение гаража для легковой машины допускается на расстоянии не меньше 1 м от границы участка. </w:t>
      </w:r>
      <w:r>
        <w:rPr>
          <w:rFonts w:cs="Times New Roman" w:ascii="Times New Roman" w:hAnsi="Times New Roman"/>
          <w:sz w:val="24"/>
          <w:szCs w:val="24"/>
        </w:rPr>
        <w:t xml:space="preserve">Расстояния от границ участка до стены жилого дома и хозяйственных построек могут быть сокращены при соблюдении норм инсоляции, освещенности, противопожарной защиты и по обоюдному согласию домовладельцев. </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Расстояние между блокированными жилыми домами следует принимать на основе расчетов инсоляции и освещенности, учета противопожарных санитарно-гигиенических требований, но не менее 6,0 м. При этом расстояния между длинными сторонами зданий высотой два-три этажа должны быть не менее 15,0 м.</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По красной линии допускается располагать жилые дома блокированного типа со встроенными или пристроенными помещениями общественного назначения.</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При строительстве на участке более одного блокированного жилого дома, на участке необходимо предусматривать места для парковки (в том числе - гостевой) из расчета одного машиноместа на один блок (квартиру) с расположением от жилых строений (в том числе - соседних), на расстоянии не менее 10,0 м., а также, детскую игровую площадку на расстоянии 12,0 м. от окон жилых домов и хозяйственную площадку - на расстоянии не менее 20,0 м от окон жилого дома, а также разворотную площадку размером не менее 12 х 12 метров при длине проезда менее 50 метров  или размером не менее чем 15 х 15 метров при длине проезда более 50 метров. </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3. Предельное количество этажей или предельная высота зданий, строений, сооружений:</w:t>
      </w:r>
    </w:p>
    <w:p>
      <w:pPr>
        <w:pStyle w:val="Normal"/>
        <w:suppressAutoHyphens w:val="tru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предельное количество надземных этажей строений – 8.</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pPr>
        <w:pStyle w:val="Normal"/>
        <w:suppressAutoHyphens w:val="tru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максимальный процент застройки в границах земельного участка – 50.</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5. Иные предельные параметры разрешенного строительства, реконструкции объектов капитального строительства.</w:t>
      </w:r>
    </w:p>
    <w:p>
      <w:pPr>
        <w:pStyle w:val="Normal"/>
        <w:spacing w:lineRule="auto" w:line="240" w:before="0" w:after="0"/>
        <w:ind w:firstLine="567"/>
        <w:jc w:val="both"/>
        <w:rPr>
          <w:rFonts w:ascii="Times New Roman" w:hAnsi="Times New Roman" w:eastAsia="Times New Roman" w:cs="Times New Roman"/>
          <w:sz w:val="24"/>
          <w:szCs w:val="24"/>
        </w:rPr>
      </w:pPr>
      <w:r>
        <w:rPr>
          <w:rFonts w:cs="Times New Roman" w:ascii="Times New Roman" w:hAnsi="Times New Roman"/>
          <w:sz w:val="24"/>
          <w:szCs w:val="24"/>
        </w:rPr>
        <w:t>Кровлю жилых домов и хозяйственных построек необходимо оборудовать  снегоудерживающими и водоотводными устройствами и системами.</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 xml:space="preserve">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w:t>
      </w:r>
    </w:p>
    <w:p>
      <w:pPr>
        <w:pStyle w:val="Normal"/>
        <w:spacing w:lineRule="auto" w:line="240" w:before="0" w:after="0"/>
        <w:ind w:firstLine="567"/>
        <w:jc w:val="both"/>
        <w:rPr>
          <w:rFonts w:ascii="Times New Roman" w:hAnsi="Times New Roman" w:eastAsia="Tahoma" w:cs="Times New Roman"/>
          <w:spacing w:val="-4"/>
          <w:sz w:val="24"/>
          <w:szCs w:val="24"/>
        </w:rPr>
      </w:pPr>
      <w:r>
        <w:rPr>
          <w:rFonts w:cs="Times New Roman" w:ascii="Times New Roman" w:hAnsi="Times New Roman"/>
          <w:sz w:val="24"/>
          <w:szCs w:val="24"/>
        </w:rPr>
        <w:t>Противопожарные расстояния от наземных и наземно-подземных стоянок (парковок) автомобилей до жилых и общественных зданий следует принимать в соответствии с требованиями раздела 4 СП 4.13130.2013, от границ открытых плоскостных стоянок парковок) автомобилей до жилых или общественных зданий - по п.6.11.2 и п.6.11.3 СП 4.13130.2013</w:t>
      </w:r>
      <w:r>
        <w:rPr>
          <w:rFonts w:eastAsia="Tahoma" w:cs="Times New Roman" w:ascii="Times New Roman" w:hAnsi="Times New Roman"/>
          <w:spacing w:val="-4"/>
          <w:sz w:val="24"/>
          <w:szCs w:val="24"/>
        </w:rPr>
        <w:t>.</w:t>
      </w:r>
    </w:p>
    <w:p>
      <w:pPr>
        <w:pStyle w:val="Normal"/>
        <w:spacing w:lineRule="auto" w:line="240" w:before="0" w:after="0"/>
        <w:ind w:firstLine="567"/>
        <w:jc w:val="both"/>
        <w:rPr>
          <w:rFonts w:ascii="Times New Roman" w:hAnsi="Times New Roman" w:eastAsia="Tahoma" w:cs="Times New Roman"/>
          <w:spacing w:val="-4"/>
          <w:sz w:val="24"/>
          <w:szCs w:val="24"/>
        </w:rPr>
      </w:pPr>
      <w:r>
        <w:rPr>
          <w:rFonts w:cs="Times New Roman" w:ascii="Times New Roman" w:hAnsi="Times New Roman"/>
          <w:sz w:val="24"/>
          <w:szCs w:val="24"/>
        </w:rPr>
        <w:t>Санитарные разрывы от стоянок (парковок) и гаражей до зданий различного назначения следует принимать по таблице 7.1.1 СанПиН 2.2.1/2.1.1.1200-03.</w:t>
      </w:r>
    </w:p>
    <w:p>
      <w:pPr>
        <w:pStyle w:val="Normal"/>
        <w:spacing w:lineRule="auto" w:line="240" w:before="0" w:after="0"/>
        <w:ind w:firstLine="567"/>
        <w:jc w:val="both"/>
        <w:rPr>
          <w:rFonts w:ascii="Times New Roman" w:hAnsi="Times New Roman" w:eastAsia="Tahoma" w:cs="Times New Roman"/>
          <w:spacing w:val="-4"/>
          <w:sz w:val="24"/>
          <w:szCs w:val="24"/>
        </w:rPr>
      </w:pPr>
      <w:r>
        <w:rPr>
          <w:rFonts w:cs="Times New Roman" w:ascii="Times New Roman" w:hAnsi="Times New Roman"/>
          <w:sz w:val="24"/>
          <w:szCs w:val="24"/>
        </w:rPr>
        <w:t>Въезды и выезды со стоянок (парковок) автомобилей должны быть обеспечены хорошим обзором и расположены так, чтобы все манёвры автомобилей осуществлялись без создания помех пешеходам и движению транспорта на прилегающей улице.</w:t>
      </w:r>
    </w:p>
    <w:p>
      <w:pPr>
        <w:pStyle w:val="Normal"/>
        <w:spacing w:lineRule="auto" w:line="240" w:before="0" w:after="0"/>
        <w:ind w:firstLine="567"/>
        <w:jc w:val="both"/>
        <w:rPr>
          <w:rFonts w:ascii="Times New Roman" w:hAnsi="Times New Roman" w:eastAsia="Tahoma" w:cs="Times New Roman"/>
          <w:spacing w:val="-4"/>
          <w:sz w:val="24"/>
          <w:szCs w:val="24"/>
        </w:rPr>
      </w:pPr>
      <w:r>
        <w:rPr>
          <w:rFonts w:eastAsia="Tahoma" w:cs="Times New Roman" w:ascii="Times New Roman" w:hAnsi="Times New Roman"/>
          <w:spacing w:val="-4"/>
          <w:sz w:val="24"/>
          <w:szCs w:val="24"/>
        </w:rPr>
        <w:t xml:space="preserve">Максимальный класс опасности по санитарной классификации объектов капитального строительства, размещаемых на территории - </w:t>
      </w:r>
      <w:r>
        <w:rPr>
          <w:rFonts w:eastAsia="Tahoma" w:cs="Times New Roman" w:ascii="Times New Roman" w:hAnsi="Times New Roman"/>
          <w:spacing w:val="-4"/>
          <w:sz w:val="24"/>
          <w:szCs w:val="24"/>
          <w:lang w:val="en-US"/>
        </w:rPr>
        <w:t>V</w:t>
      </w:r>
      <w:r>
        <w:rPr>
          <w:rFonts w:eastAsia="Tahoma" w:cs="Times New Roman" w:ascii="Times New Roman" w:hAnsi="Times New Roman"/>
          <w:spacing w:val="-4"/>
          <w:sz w:val="24"/>
          <w:szCs w:val="24"/>
        </w:rPr>
        <w:t xml:space="preserve"> класс.</w:t>
      </w:r>
    </w:p>
    <w:p>
      <w:pPr>
        <w:pStyle w:val="Normal"/>
        <w:keepNext/>
        <w:keepLines/>
        <w:widowControl w:val="false"/>
        <w:numPr>
          <w:ilvl w:val="0"/>
          <w:numId w:val="0"/>
        </w:numPr>
        <w:spacing w:lineRule="auto" w:line="240" w:before="0" w:after="0"/>
        <w:ind w:firstLine="567"/>
        <w:outlineLvl w:val="0"/>
        <w:rPr>
          <w:rFonts w:ascii="Times New Roman" w:hAnsi="Times New Roman" w:eastAsia="Times New Roman" w:cs="Times New Roman"/>
          <w:b/>
          <w:b/>
          <w:bCs/>
          <w:sz w:val="24"/>
          <w:szCs w:val="24"/>
          <w:lang w:bidi="ru-RU"/>
        </w:rPr>
      </w:pPr>
      <w:bookmarkStart w:id="86" w:name="_Toc484865785"/>
      <w:bookmarkStart w:id="87" w:name="_Toc485621478"/>
      <w:bookmarkStart w:id="88" w:name="_Toc4521069801"/>
      <w:bookmarkEnd w:id="86"/>
      <w:bookmarkEnd w:id="87"/>
      <w:bookmarkEnd w:id="88"/>
      <w:r>
        <w:rPr>
          <w:rFonts w:eastAsia="Times New Roman" w:cs="Times New Roman" w:ascii="Times New Roman" w:hAnsi="Times New Roman"/>
          <w:b/>
          <w:bCs/>
          <w:sz w:val="24"/>
          <w:szCs w:val="24"/>
          <w:lang w:bidi="ru-RU"/>
        </w:rPr>
        <w:t>ОБЩЕСТВЕННО-ДЕЛОВЫЕ ЗОНЫ МНОГОФУНКИОНАЛЬНОГО НАЗНАЧЕНИЯ</w:t>
      </w:r>
    </w:p>
    <w:p>
      <w:pPr>
        <w:pStyle w:val="Normal"/>
        <w:widowControl w:val="false"/>
        <w:numPr>
          <w:ilvl w:val="0"/>
          <w:numId w:val="0"/>
        </w:numPr>
        <w:spacing w:lineRule="auto" w:line="240" w:before="0" w:after="0"/>
        <w:outlineLvl w:val="1"/>
        <w:rPr>
          <w:rFonts w:ascii="Times New Roman" w:hAnsi="Times New Roman" w:eastAsia="Times New Roman" w:cs="Times New Roman"/>
          <w:b/>
          <w:b/>
          <w:i/>
          <w:i/>
          <w:sz w:val="24"/>
          <w:szCs w:val="24"/>
          <w:lang w:bidi="ru-RU"/>
        </w:rPr>
      </w:pPr>
      <w:bookmarkStart w:id="89" w:name="_Toc484865786"/>
      <w:bookmarkStart w:id="90" w:name="_Toc485621479"/>
      <w:bookmarkStart w:id="91" w:name="bookmark59"/>
      <w:bookmarkEnd w:id="89"/>
      <w:bookmarkEnd w:id="90"/>
      <w:bookmarkEnd w:id="91"/>
      <w:r>
        <w:rPr>
          <w:rFonts w:eastAsia="Times New Roman" w:cs="Times New Roman" w:ascii="Times New Roman" w:hAnsi="Times New Roman"/>
          <w:b/>
          <w:i/>
          <w:sz w:val="24"/>
          <w:szCs w:val="24"/>
          <w:lang w:bidi="ru-RU"/>
        </w:rPr>
        <w:t>Статья 51. ОД-1. Зона делового, общественного и коммерческого назначения</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Общественно-деловая зона выделяется с целью развития существующих и преобразуемых территорий, предназначенных для размещения административных учреждений, объектов делового, финансового назначения объектов торговли и общественного питания, объектов гостиничного обслуживания, зрелищных, объектов для проведения научных исследований и изысканий, размещения необходимых объектов инженерной и транспортной инфраструктуры.</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Виды разрешенного использования земельных участков и объектов капитального строительства.</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7478"/>
        <w:gridCol w:w="1848"/>
      </w:tblGrid>
      <w:tr>
        <w:trPr/>
        <w:tc>
          <w:tcPr>
            <w:tcW w:w="747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Код</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Коммунальное 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Социальное 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3.2</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Бытовое 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3.3</w:t>
            </w:r>
          </w:p>
        </w:tc>
      </w:tr>
      <w:tr>
        <w:trPr>
          <w:trHeight w:val="255" w:hRule="atLeast"/>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Амбулаторно-поликлиническое 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3.4.1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Дошкольное, начальное и среднее общее образование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3.5.1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Культурное развитие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3.6</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Религиозного использования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3.7</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Общественное управление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3.8</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научной деятельности</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3.9</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Амбулаторное ветеринарное 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3.10.1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Деловое управление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Рынки</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4.3</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Магазины</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4.4</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Банковская и страховая деятельность</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4.5</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Общественное питание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4.6</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Гостиничное 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4.7</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Развлечения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4.8</w:t>
            </w:r>
          </w:p>
        </w:tc>
      </w:tr>
      <w:tr>
        <w:trPr/>
        <w:tc>
          <w:tcPr>
            <w:tcW w:w="747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Объекты придорожного сервиса</w:t>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4.9.1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Выставочно-ярмарочная деятельность</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4.10</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5.1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Туристическое 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5.2.1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Связь</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6.8</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7.2</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внутреннего правопорядка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8.3</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12.0</w:t>
            </w:r>
          </w:p>
        </w:tc>
      </w:tr>
      <w:tr>
        <w:trPr/>
        <w:tc>
          <w:tcPr>
            <w:tcW w:w="7478" w:type="dxa"/>
            <w:tcBorders>
              <w:top w:val="nil"/>
            </w:tcBorders>
            <w:shd w:fill="auto" w:val="clear"/>
            <w:tcMar>
              <w:left w:w="73" w:type="dxa"/>
            </w:tcMar>
            <w:vAlign w:val="center"/>
          </w:tcPr>
          <w:p>
            <w:pPr>
              <w:pStyle w:val="Normal"/>
              <w:spacing w:lineRule="auto" w:line="240" w:before="0" w:after="0"/>
              <w:ind w:firstLine="567"/>
              <w:rPr>
                <w:rFonts w:ascii="Times New Roman" w:hAnsi="Times New Roman"/>
                <w:sz w:val="24"/>
                <w:szCs w:val="24"/>
              </w:rPr>
            </w:pPr>
            <w:r>
              <w:rPr>
                <w:rFonts w:ascii="Times New Roman" w:hAnsi="Times New Roman"/>
                <w:sz w:val="24"/>
                <w:szCs w:val="24"/>
              </w:rPr>
              <w:t>Предпринимательство</w:t>
            </w:r>
          </w:p>
        </w:tc>
        <w:tc>
          <w:tcPr>
            <w:tcW w:w="1848" w:type="dxa"/>
            <w:tcBorders>
              <w:top w:val="nil"/>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sz w:val="24"/>
                <w:szCs w:val="24"/>
              </w:rPr>
            </w:pPr>
            <w:r>
              <w:rPr>
                <w:rFonts w:ascii="Times New Roman" w:hAnsi="Times New Roman"/>
                <w:sz w:val="24"/>
                <w:szCs w:val="24"/>
              </w:rPr>
              <w:t>4.0</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ahoma" w:cs="Times New Roman" w:ascii="Times New Roman" w:hAnsi="Times New Roman"/>
                <w:sz w:val="24"/>
                <w:szCs w:val="24"/>
              </w:rPr>
              <w:t xml:space="preserve">Объекты торговли (торговые центры, торгово-развлекательные </w:t>
            </w:r>
            <w:r>
              <w:rPr>
                <w:rFonts w:eastAsia="Times New Roman" w:cs="Times New Roman" w:ascii="Times New Roman" w:hAnsi="Times New Roman"/>
                <w:sz w:val="24"/>
                <w:szCs w:val="24"/>
              </w:rPr>
              <w:t>центры (комплексы)</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val="en-US" w:bidi="ru-RU"/>
              </w:rPr>
            </w:pPr>
            <w:r>
              <w:rPr>
                <w:rFonts w:eastAsia="Times New Roman" w:cs="Times New Roman" w:ascii="Times New Roman" w:hAnsi="Times New Roman"/>
                <w:sz w:val="24"/>
                <w:szCs w:val="24"/>
                <w:lang w:val="en-US" w:bidi="ru-RU"/>
              </w:rPr>
              <w:t>4.2</w:t>
            </w:r>
          </w:p>
        </w:tc>
      </w:tr>
      <w:tr>
        <w:trPr/>
        <w:tc>
          <w:tcPr>
            <w:tcW w:w="747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Пищевая промышленность</w:t>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6.4</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Обслуживание автотранспорта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4.9</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1. Предельные (минимальные и (или) максимальные) размеры земельных участков, в том числе их площадь:</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4958"/>
        <w:gridCol w:w="4368"/>
      </w:tblGrid>
      <w:tr>
        <w:trPr/>
        <w:tc>
          <w:tcPr>
            <w:tcW w:w="495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436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Предельные размеры земельных участков (мин.-макс.),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Коммунальное обслуживание</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Социальное обслуживание</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cs="Times New Roman" w:ascii="Times New Roman" w:hAnsi="Times New Roman"/>
                <w:sz w:val="24"/>
                <w:szCs w:val="24"/>
              </w:rPr>
              <w:t>минимальная площадь земельного участка 500 кв.м</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Бытовое обслуживание</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cs="Times New Roman" w:ascii="Times New Roman" w:hAnsi="Times New Roman"/>
                <w:sz w:val="24"/>
                <w:szCs w:val="24"/>
              </w:rPr>
              <w:t>10-5000 кв.м</w:t>
            </w:r>
          </w:p>
        </w:tc>
      </w:tr>
      <w:tr>
        <w:trPr>
          <w:trHeight w:val="255" w:hRule="atLeast"/>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Амбулаторно-поликлиническое обслуживание</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Минимальная площадь земельного участка 2000 кв.м и 1000 кв.м на каждые 100 посещений в смену</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Дошкольное, начальное и среднее общее образование</w:t>
            </w:r>
          </w:p>
        </w:tc>
        <w:tc>
          <w:tcPr>
            <w:tcW w:w="4368" w:type="dxa"/>
            <w:tcBorders/>
            <w:shd w:fill="auto" w:val="clear"/>
            <w:tcMar>
              <w:left w:w="73" w:type="dxa"/>
            </w:tcMar>
            <w:vAlign w:val="center"/>
          </w:tcPr>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Размер земельного участка детского дошкольного учреждения, при вместимости:</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1) до 100 мест - 40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2) от 100 мест -35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3) от 500 мест - 30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Размер земельного участка общеобразовательного учреждения, при вместимости:</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1) до 400 мест - 50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2) 400 - 500 мест - 60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3) 500 - 600 мест - 50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4) 600 - 800 мест - 40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5) 800 - 1100 мест - 33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6) 1100 - 1500 мест - 21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7) 1500 - 2000 мест - 17 кв.м на 1 место;</w:t>
            </w:r>
          </w:p>
          <w:p>
            <w:pPr>
              <w:pStyle w:val="Normal"/>
              <w:widowControl w:val="false"/>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8) более 2000 мест - 16 кв.м на 1 место</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Культурное развитие</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Минимальный размер земельного участка 200 кв.м</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Религиозного использования</w:t>
            </w:r>
          </w:p>
        </w:tc>
        <w:tc>
          <w:tcPr>
            <w:tcW w:w="4368" w:type="dxa"/>
            <w:tcBorders/>
            <w:shd w:fill="auto" w:val="clear"/>
            <w:tcMar>
              <w:left w:w="73" w:type="dxa"/>
            </w:tcMar>
            <w:vAlign w:val="center"/>
          </w:tcPr>
          <w:p>
            <w:pPr>
              <w:pStyle w:val="Normal"/>
              <w:spacing w:lineRule="auto" w:line="240" w:before="0" w:after="0"/>
              <w:jc w:val="both"/>
              <w:rPr>
                <w:rFonts w:ascii="Times New Roman" w:hAnsi="Times New Roman" w:eastAsia="Tahoma" w:cs="Times New Roman"/>
                <w:sz w:val="24"/>
                <w:szCs w:val="24"/>
              </w:rPr>
            </w:pPr>
            <w:r>
              <w:rPr>
                <w:rFonts w:eastAsia="Tahoma" w:cs="Times New Roman" w:ascii="Times New Roman" w:hAnsi="Times New Roman"/>
                <w:sz w:val="24"/>
                <w:szCs w:val="24"/>
              </w:rPr>
              <w:t>Размеры земельных участков храмовых комплексов, включающих основные здания и сооружения богослужебного и вспомогательного назначения, принимаются исходя из удельного показателя - 7 кв.м площади участка на единицу вместимости храма.</w:t>
            </w:r>
          </w:p>
          <w:p>
            <w:pPr>
              <w:pStyle w:val="Normal"/>
              <w:widowControl w:val="false"/>
              <w:spacing w:lineRule="auto" w:line="240" w:before="0" w:after="0"/>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При строительстве храмовых комплексов в особых условиях: стеснённости (затеснённая застройка), допускается уменьшение удельного показателя земельного участка (кв.м на единицу вместимости), но не более чем на 25%</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Общественное управление</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Минимальный размер земельного участка 1200 кв.м</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научной деятельности</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Минимальная площадь земельного участка 700 кв.м</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Амбулаторное ветеринарное обслуживание</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Минимальный размер земельного участка 200 кв.м</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Деловое управление</w:t>
            </w:r>
          </w:p>
        </w:tc>
        <w:tc>
          <w:tcPr>
            <w:tcW w:w="4368" w:type="dxa"/>
            <w:tcBorders/>
            <w:shd w:fill="auto" w:val="clear"/>
            <w:tcMar>
              <w:left w:w="73" w:type="dxa"/>
            </w:tcMar>
            <w:vAlign w:val="center"/>
          </w:tcPr>
          <w:p>
            <w:pPr>
              <w:pStyle w:val="Normal"/>
              <w:spacing w:lineRule="auto" w:line="240" w:before="0" w:after="0"/>
              <w:jc w:val="both"/>
              <w:rPr>
                <w:rFonts w:ascii="Times New Roman" w:hAnsi="Times New Roman" w:eastAsia="Times New Roman" w:cs="Times New Roman"/>
                <w:sz w:val="24"/>
                <w:szCs w:val="24"/>
                <w:lang w:bidi="ru-RU"/>
              </w:rPr>
            </w:pPr>
            <w:r>
              <w:rPr>
                <w:rFonts w:cs="Times New Roman" w:ascii="Times New Roman" w:hAnsi="Times New Roman"/>
                <w:sz w:val="24"/>
                <w:szCs w:val="24"/>
              </w:rPr>
              <w:t>минимальная площадь земельного участка 1200 кв.м</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Рынки</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cs="Times New Roman" w:ascii="Times New Roman" w:hAnsi="Times New Roman"/>
                <w:sz w:val="24"/>
                <w:szCs w:val="24"/>
              </w:rPr>
              <w:t>максимальная площадь земельного участка 8400 кв.м, из расчета 14 кв. м участка на 1 кв. м торговой площади</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Магазины</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cs="Times New Roman" w:ascii="Times New Roman" w:hAnsi="Times New Roman"/>
                <w:sz w:val="24"/>
                <w:szCs w:val="24"/>
              </w:rPr>
              <w:t>максимальная площадь земельного участка 5000 кв. м. из расчета 500 кв. м участка на 100 кв.м торговой площади.</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Банковская и страховая деятельность</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cs="Times New Roman" w:ascii="Times New Roman" w:hAnsi="Times New Roman"/>
                <w:sz w:val="24"/>
                <w:szCs w:val="24"/>
              </w:rPr>
              <w:t>500-2400 кв.м</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Общественное питание</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cs="Times New Roman" w:ascii="Times New Roman" w:hAnsi="Times New Roman"/>
                <w:sz w:val="24"/>
                <w:szCs w:val="24"/>
              </w:rPr>
              <w:t>500-2300 кв.м</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Гостиничное обслуживание</w:t>
            </w:r>
          </w:p>
        </w:tc>
        <w:tc>
          <w:tcPr>
            <w:tcW w:w="4368" w:type="dxa"/>
            <w:tcBorders/>
            <w:shd w:fill="auto" w:val="clear"/>
            <w:tcMar>
              <w:left w:w="73" w:type="dxa"/>
            </w:tcMar>
            <w:vAlign w:val="center"/>
          </w:tcPr>
          <w:p>
            <w:pPr>
              <w:pStyle w:val="Normal"/>
              <w:spacing w:lineRule="auto" w:line="240" w:before="0" w:after="0"/>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Максимальный размер земельных участков под размещение гостиниц при числе мест гостиницы от 25 до 100 мест - 55 кв. м на 1 место; от 100 до 500 мест - 30 кв. м на 1 место; от 500 до 1000 мест - 20 кв. м на 1 место; от 1000 до 2000 мест - 15 кв. м на 1 место</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Развлечения</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максимальная площадь земельного участка 1000 кв.м</w:t>
            </w:r>
          </w:p>
        </w:tc>
      </w:tr>
      <w:tr>
        <w:trPr/>
        <w:tc>
          <w:tcPr>
            <w:tcW w:w="495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Объекты придорожного сервиса</w:t>
            </w:r>
          </w:p>
        </w:tc>
        <w:tc>
          <w:tcPr>
            <w:tcW w:w="4368"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cs="Times New Roman" w:ascii="Times New Roman" w:hAnsi="Times New Roman"/>
                <w:sz w:val="24"/>
                <w:szCs w:val="24"/>
              </w:rPr>
              <w:t>100-3000 кв.м</w:t>
            </w:r>
          </w:p>
        </w:tc>
      </w:tr>
      <w:tr>
        <w:trPr/>
        <w:tc>
          <w:tcPr>
            <w:tcW w:w="495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Выставочно-ярмарочная деятельность</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Минимальная площадь земельного участка 700 кв.м</w:t>
            </w:r>
          </w:p>
        </w:tc>
      </w:tr>
      <w:tr>
        <w:trPr/>
        <w:tc>
          <w:tcPr>
            <w:tcW w:w="4958" w:type="dxa"/>
            <w:tcBorders/>
            <w:shd w:color="auto"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Спорт</w:t>
            </w:r>
          </w:p>
        </w:tc>
        <w:tc>
          <w:tcPr>
            <w:tcW w:w="4368" w:type="dxa"/>
            <w:tcBorders/>
            <w:shd w:color="auto"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700-10000 кв.м</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Туристическое обслуживание</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максимальный размер земельных участков под размещение гостиниц при числе мест гостиницы от 25 до 100 мест - 55 кв. м на 1 место; от 100 до 500 мест - 30 кв. м на 1 место; от 500 до 1000 мест - 20 кв. м на 1 место; от 1000 до 2000 мест - 15 кв. м на 1 место</w:t>
            </w:r>
          </w:p>
        </w:tc>
      </w:tr>
      <w:tr>
        <w:trPr/>
        <w:tc>
          <w:tcPr>
            <w:tcW w:w="4958" w:type="dxa"/>
            <w:tcBorders>
              <w:top w:val="nil"/>
            </w:tcBorders>
            <w:shd w:fill="auto" w:val="clear"/>
            <w:tcMar>
              <w:left w:w="73" w:type="dxa"/>
            </w:tcMar>
            <w:vAlign w:val="center"/>
          </w:tcPr>
          <w:p>
            <w:pPr>
              <w:pStyle w:val="Normal"/>
              <w:widowControl w:val="false"/>
              <w:spacing w:lineRule="auto" w:line="240" w:before="0" w:after="0"/>
              <w:ind w:firstLine="567"/>
              <w:rPr>
                <w:rFonts w:ascii="Times New Roman" w:hAnsi="Times New Roman"/>
                <w:sz w:val="24"/>
                <w:szCs w:val="24"/>
              </w:rPr>
            </w:pPr>
            <w:r>
              <w:rPr>
                <w:rFonts w:ascii="Times New Roman" w:hAnsi="Times New Roman"/>
                <w:sz w:val="24"/>
                <w:szCs w:val="24"/>
              </w:rPr>
              <w:t>Предпринимательство</w:t>
            </w:r>
          </w:p>
        </w:tc>
        <w:tc>
          <w:tcPr>
            <w:tcW w:w="4368" w:type="dxa"/>
            <w:tcBorders>
              <w:top w:val="nil"/>
            </w:tcBorders>
            <w:shd w:fill="auto" w:val="clear"/>
            <w:tcMar>
              <w:left w:w="73" w:type="dxa"/>
            </w:tcMar>
            <w:vAlign w:val="center"/>
          </w:tcPr>
          <w:p>
            <w:pPr>
              <w:pStyle w:val="Normal"/>
              <w:widowControl w:val="false"/>
              <w:spacing w:lineRule="auto" w:line="240" w:before="0" w:after="0"/>
              <w:rPr>
                <w:rFonts w:ascii="Times New Roman" w:hAnsi="Times New Roman"/>
                <w:sz w:val="24"/>
                <w:szCs w:val="24"/>
              </w:rPr>
            </w:pPr>
            <w:r>
              <w:rPr>
                <w:rFonts w:ascii="Times New Roman" w:hAnsi="Times New Roman"/>
                <w:sz w:val="24"/>
                <w:szCs w:val="24"/>
              </w:rPr>
              <w:t>20-5000 кв.м.</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Связь</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495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4368"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495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внутреннего правопорядка</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495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495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Пищевая промышленность</w:t>
            </w:r>
          </w:p>
        </w:tc>
        <w:tc>
          <w:tcPr>
            <w:tcW w:w="4368"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Минимальная площадь земельного участка 700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495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Обслуживание автотранспорта</w:t>
            </w:r>
          </w:p>
        </w:tc>
        <w:tc>
          <w:tcPr>
            <w:tcW w:w="436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минимальный отступ зданий, строений и сооружений от красной линии улиц - 5 метров, </w:t>
      </w:r>
      <w:r>
        <w:rPr>
          <w:rFonts w:eastAsia="Tahoma" w:cs="Times New Roman" w:ascii="Times New Roman" w:hAnsi="Times New Roman"/>
          <w:sz w:val="24"/>
          <w:szCs w:val="24"/>
        </w:rPr>
        <w:t>от красной линии проездов - не менее чем на 3 м</w:t>
      </w:r>
      <w:r>
        <w:rPr>
          <w:rFonts w:cs="Times New Roman" w:ascii="Times New Roman" w:hAnsi="Times New Roman"/>
          <w:sz w:val="24"/>
          <w:szCs w:val="24"/>
        </w:rPr>
        <w:t xml:space="preserve"> (в условиях сложившейся застройки допускается размещение объектов по красной линии);</w:t>
      </w:r>
    </w:p>
    <w:p>
      <w:pPr>
        <w:pStyle w:val="Normal"/>
        <w:widowControl w:val="fals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минимальный отступ от границ соседних земельных участков - 1 метр.</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3. Предельное количество этажей или предельная высота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Предельное количество этажей или предельная высота зданий, строений, сооружений в данной территориальной зоне 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Максимальный процент застройки в границах земельного участка в данной территориальной зоне 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5. Иные предельные параметры разрешенного строительства, реконструкции объектов капитального строительства.</w:t>
      </w:r>
    </w:p>
    <w:p>
      <w:pPr>
        <w:pStyle w:val="Normal"/>
        <w:suppressAutoHyphens w:val="tru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Встроенные в жилые дома учреждения обслуживания следует размещать с учетом требований СНиП 31-01-2003, СП 31-107-2004, СанПиН 2.1.2.1002-00, СП 2.3.6.1066-01, СП 2.3.6.1079-01 и СНиП 2.08.02-89.</w:t>
      </w:r>
    </w:p>
    <w:p>
      <w:pPr>
        <w:pStyle w:val="Normal"/>
        <w:suppressAutoHyphens w:val="tru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Предельные параметры разрешенного строительства конкретного объекта строительства определяются в соответствии с местными нормативами градостроительного проектирования, техническими регламентами, Сводом правил «СНИП 2.07.01-89* «Градостроительство. Планировка и застройка городских и сельских поселений», утвержденным приказом Министерства регионального развития РФ от 28.12.2010 № 820.</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pPr>
        <w:pStyle w:val="Normal"/>
        <w:spacing w:lineRule="auto" w:line="240" w:before="0" w:after="0"/>
        <w:ind w:firstLine="567"/>
        <w:jc w:val="both"/>
        <w:rPr>
          <w:rFonts w:ascii="Times New Roman" w:hAnsi="Times New Roman" w:eastAsia="Times New Roman" w:cs="Times New Roman"/>
          <w:sz w:val="24"/>
          <w:szCs w:val="24"/>
        </w:rPr>
      </w:pPr>
      <w:r>
        <w:rPr>
          <w:rFonts w:eastAsia="Tahoma" w:cs="Times New Roman" w:ascii="Times New Roman" w:hAnsi="Times New Roman"/>
          <w:spacing w:val="-4"/>
          <w:sz w:val="24"/>
          <w:szCs w:val="24"/>
        </w:rPr>
        <w:t xml:space="preserve">Максимальный класс опасности по санитарной классификации объектов капитального строительства, размещаемых на территории - </w:t>
      </w:r>
      <w:r>
        <w:rPr>
          <w:rFonts w:eastAsia="Tahoma" w:cs="Times New Roman" w:ascii="Times New Roman" w:hAnsi="Times New Roman"/>
          <w:spacing w:val="-4"/>
          <w:sz w:val="24"/>
          <w:szCs w:val="24"/>
          <w:lang w:val="en-US"/>
        </w:rPr>
        <w:t>V</w:t>
      </w:r>
      <w:r>
        <w:rPr>
          <w:rFonts w:eastAsia="Tahoma" w:cs="Times New Roman" w:ascii="Times New Roman" w:hAnsi="Times New Roman"/>
          <w:spacing w:val="-4"/>
          <w:sz w:val="24"/>
          <w:szCs w:val="24"/>
        </w:rPr>
        <w:t xml:space="preserve"> класс.</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градостроительные и строительные нормы и правила.</w:t>
      </w:r>
    </w:p>
    <w:p>
      <w:pPr>
        <w:pStyle w:val="Normal"/>
        <w:spacing w:lineRule="auto" w:line="240" w:before="0" w:after="0"/>
        <w:ind w:firstLine="567"/>
        <w:jc w:val="both"/>
        <w:rPr>
          <w:rFonts w:ascii="Times New Roman" w:hAnsi="Times New Roman" w:eastAsia="Tahoma" w:cs="Times New Roman"/>
          <w:spacing w:val="-4"/>
          <w:sz w:val="24"/>
          <w:szCs w:val="24"/>
        </w:rPr>
      </w:pPr>
      <w:r>
        <w:rPr>
          <w:rFonts w:cs="Times New Roman" w:ascii="Times New Roman" w:hAnsi="Times New Roman"/>
          <w:sz w:val="24"/>
          <w:szCs w:val="24"/>
        </w:rPr>
        <w:t>Противопожарные расстояния от наземных и наземно-подземных стоянок (парковок) автомобилей до жилых и общественных зданий следует принимать в соответствии с требованиями раздела 4 СП 4.13130.2013, от границ открытых плоскостных стоянок парковок) автомобилей до жилых или общественных зданий - по п.6.11.2 и п.6.11.3 СП 4.13130.2013</w:t>
      </w:r>
      <w:r>
        <w:rPr>
          <w:rFonts w:eastAsia="Tahoma" w:cs="Times New Roman" w:ascii="Times New Roman" w:hAnsi="Times New Roman"/>
          <w:spacing w:val="-4"/>
          <w:sz w:val="24"/>
          <w:szCs w:val="24"/>
        </w:rPr>
        <w:t>.</w:t>
      </w:r>
    </w:p>
    <w:p>
      <w:pPr>
        <w:pStyle w:val="Normal"/>
        <w:widowControl w:val="false"/>
        <w:numPr>
          <w:ilvl w:val="0"/>
          <w:numId w:val="0"/>
        </w:numPr>
        <w:spacing w:lineRule="auto" w:line="240" w:before="0" w:after="0"/>
        <w:ind w:firstLine="567"/>
        <w:outlineLvl w:val="0"/>
        <w:rPr>
          <w:rFonts w:ascii="Times New Roman" w:hAnsi="Times New Roman" w:eastAsia="Times New Roman" w:cs="Times New Roman"/>
          <w:b/>
          <w:b/>
          <w:bCs/>
          <w:sz w:val="24"/>
          <w:szCs w:val="24"/>
          <w:lang w:bidi="ru-RU"/>
        </w:rPr>
      </w:pPr>
      <w:bookmarkStart w:id="92" w:name="_Toc484865791"/>
      <w:bookmarkStart w:id="93" w:name="_Toc485621480"/>
      <w:bookmarkEnd w:id="92"/>
      <w:bookmarkEnd w:id="93"/>
      <w:r>
        <w:rPr>
          <w:rFonts w:eastAsia="Times New Roman" w:cs="Times New Roman" w:ascii="Times New Roman" w:hAnsi="Times New Roman"/>
          <w:b/>
          <w:bCs/>
          <w:sz w:val="24"/>
          <w:szCs w:val="24"/>
          <w:lang w:bidi="ru-RU"/>
        </w:rPr>
        <w:t>РЕКРЕАЦИОННЫЕ ЗОНЫ</w:t>
      </w:r>
    </w:p>
    <w:p>
      <w:pPr>
        <w:pStyle w:val="Normal"/>
        <w:keepNext/>
        <w:keepLines/>
        <w:widowControl w:val="false"/>
        <w:numPr>
          <w:ilvl w:val="0"/>
          <w:numId w:val="0"/>
        </w:numPr>
        <w:spacing w:lineRule="auto" w:line="240" w:before="0" w:after="0"/>
        <w:outlineLvl w:val="1"/>
        <w:rPr>
          <w:rFonts w:ascii="Times New Roman" w:hAnsi="Times New Roman" w:eastAsia="Times New Roman" w:cs="Times New Roman"/>
          <w:b/>
          <w:b/>
          <w:bCs/>
          <w:i/>
          <w:i/>
          <w:sz w:val="24"/>
          <w:szCs w:val="24"/>
          <w:lang w:bidi="ru-RU"/>
        </w:rPr>
      </w:pPr>
      <w:bookmarkStart w:id="94" w:name="_Toc484865792"/>
      <w:bookmarkStart w:id="95" w:name="_Toc485621481"/>
      <w:bookmarkStart w:id="96" w:name="bookmark64"/>
      <w:bookmarkStart w:id="97" w:name="bookmark65"/>
      <w:bookmarkStart w:id="98" w:name="_Toc437075957"/>
      <w:bookmarkStart w:id="99" w:name="_Toc437076004"/>
      <w:bookmarkEnd w:id="94"/>
      <w:bookmarkEnd w:id="95"/>
      <w:bookmarkEnd w:id="96"/>
      <w:bookmarkEnd w:id="97"/>
      <w:bookmarkEnd w:id="98"/>
      <w:bookmarkEnd w:id="99"/>
      <w:r>
        <w:rPr>
          <w:rFonts w:eastAsia="Times New Roman" w:cs="Times New Roman" w:ascii="Times New Roman" w:hAnsi="Times New Roman"/>
          <w:b/>
          <w:bCs/>
          <w:i/>
          <w:sz w:val="24"/>
          <w:szCs w:val="24"/>
          <w:lang w:bidi="ru-RU"/>
        </w:rPr>
        <w:t>Статья 52. Р-1. Зона рекреационного назначения</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рекреационного назначения включает в себя земельные участки, занятые скверами, парками, используемые и предназначенные для отдыха, туризма, занятий физической культурой и спортом и необходимой инженерной и транспортной инфраструктуры.</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Виды разрешенного использования земельных участков и объектов капитального строительства.</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7478"/>
        <w:gridCol w:w="1848"/>
      </w:tblGrid>
      <w:tr>
        <w:trPr/>
        <w:tc>
          <w:tcPr>
            <w:tcW w:w="747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Код</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Отдых (рекреация)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5.0</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5.1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12.0</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Охрана природных территорий</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9.1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Историко-культурная деятельность</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9.3</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1. Предельные (минимальные и (или) максимальные) размеры земельных участков, в том числе их площадь:</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5098"/>
        <w:gridCol w:w="4228"/>
      </w:tblGrid>
      <w:tr>
        <w:trPr/>
        <w:tc>
          <w:tcPr>
            <w:tcW w:w="509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422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Предельные размеры земельных участков (мин.-макс.),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Отдых (рекреация)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color="auto"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Спорт</w:t>
            </w:r>
          </w:p>
        </w:tc>
        <w:tc>
          <w:tcPr>
            <w:tcW w:w="4228" w:type="dxa"/>
            <w:tcBorders/>
            <w:shd w:color="auto"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50-10000 кв.м</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Охрана природных территорий</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Историко-культурная деятельность</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минимальный отступ зданий, строений и сооружений от красной линии улиц, проездов - 5 метров (в условиях сложившейся застройки допускается размещение объектов по красной линии);</w:t>
      </w:r>
    </w:p>
    <w:p>
      <w:pPr>
        <w:pStyle w:val="Normal"/>
        <w:widowControl w:val="fals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минимальный отступ от границ соседних земельных участков - 1 метр.</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3. Предельное количество этажей или предельная высота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Предельное количество этажей или предельная высота зданий, строений, сооружений в данной территориальной зоне </w:t>
      </w:r>
      <w:r>
        <w:rPr>
          <w:rFonts w:eastAsia="Times New Roman" w:cs="Times New Roman" w:ascii="Times New Roman" w:hAnsi="Times New Roman"/>
          <w:sz w:val="24"/>
          <w:szCs w:val="24"/>
          <w:lang w:bidi="ru-RU"/>
        </w:rPr>
        <w:t>не подлежат ограничению</w:t>
      </w:r>
      <w:r>
        <w:rPr>
          <w:rFonts w:cs="Times New Roman" w:ascii="Times New Roman" w:hAnsi="Times New Roman"/>
          <w:sz w:val="24"/>
          <w:szCs w:val="24"/>
        </w:rPr>
        <w:t>.</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Максимальный процент застройки в границах земельного участка в данной территориальной зоне </w:t>
      </w:r>
      <w:r>
        <w:rPr>
          <w:rFonts w:eastAsia="Times New Roman" w:cs="Times New Roman" w:ascii="Times New Roman" w:hAnsi="Times New Roman"/>
          <w:sz w:val="24"/>
          <w:szCs w:val="24"/>
          <w:lang w:bidi="ru-RU"/>
        </w:rPr>
        <w:t>не подлежат ограничению</w:t>
      </w:r>
      <w:r>
        <w:rPr>
          <w:rFonts w:cs="Times New Roman" w:ascii="Times New Roman" w:hAnsi="Times New Roman"/>
          <w:sz w:val="24"/>
          <w:szCs w:val="24"/>
        </w:rPr>
        <w:t>.</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5. Иные предельные параметры разрешенного строительства, реконструкции объектов капитального строительства.</w:t>
      </w:r>
    </w:p>
    <w:p>
      <w:pPr>
        <w:pStyle w:val="Normal"/>
        <w:widowControl w:val="false"/>
        <w:suppressAutoHyphens w:val="true"/>
        <w:spacing w:lineRule="auto" w:line="240" w:before="0" w:after="0"/>
        <w:ind w:firstLine="567"/>
        <w:jc w:val="both"/>
        <w:rPr>
          <w:rFonts w:ascii="Times New Roman" w:hAnsi="Times New Roman" w:eastAsia="Lucida Sans Unicode" w:cs="Times New Roman"/>
          <w:sz w:val="24"/>
          <w:szCs w:val="24"/>
          <w:lang w:eastAsia="ar-SA"/>
        </w:rPr>
      </w:pPr>
      <w:r>
        <w:rPr>
          <w:rFonts w:eastAsia="Lucida Sans Unicode" w:cs="Times New Roman" w:ascii="Times New Roman" w:hAnsi="Times New Roman"/>
          <w:sz w:val="24"/>
          <w:szCs w:val="24"/>
          <w:lang w:eastAsia="ar-SA"/>
        </w:rPr>
        <w:t>Предельные параметры разрешенного строительства:</w:t>
      </w:r>
    </w:p>
    <w:p>
      <w:pPr>
        <w:pStyle w:val="Normal"/>
        <w:widowControl w:val="false"/>
        <w:suppressAutoHyphens w:val="true"/>
        <w:spacing w:lineRule="auto" w:line="240" w:before="0" w:after="0"/>
        <w:ind w:firstLine="567"/>
        <w:jc w:val="both"/>
        <w:rPr>
          <w:rFonts w:ascii="Times New Roman" w:hAnsi="Times New Roman" w:eastAsia="Lucida Sans Unicode" w:cs="Times New Roman"/>
          <w:sz w:val="24"/>
          <w:szCs w:val="24"/>
          <w:lang w:eastAsia="ar-SA"/>
        </w:rPr>
      </w:pPr>
      <w:r>
        <w:rPr>
          <w:rFonts w:eastAsia="Lucida Sans Unicode" w:cs="Times New Roman" w:ascii="Times New Roman" w:hAnsi="Times New Roman"/>
          <w:sz w:val="24"/>
          <w:szCs w:val="24"/>
          <w:lang w:eastAsia="ar-SA"/>
        </w:rPr>
        <w:t>1) зеленые насаждения - 60-75% от общей площади зоны;</w:t>
      </w:r>
    </w:p>
    <w:p>
      <w:pPr>
        <w:pStyle w:val="Normal"/>
        <w:widowControl w:val="false"/>
        <w:suppressAutoHyphens w:val="true"/>
        <w:spacing w:lineRule="auto" w:line="240" w:before="0" w:after="0"/>
        <w:ind w:firstLine="567"/>
        <w:jc w:val="both"/>
        <w:rPr>
          <w:rFonts w:ascii="Times New Roman" w:hAnsi="Times New Roman" w:eastAsia="Lucida Sans Unicode" w:cs="Times New Roman"/>
          <w:sz w:val="24"/>
          <w:szCs w:val="24"/>
          <w:lang w:eastAsia="ar-SA"/>
        </w:rPr>
      </w:pPr>
      <w:r>
        <w:rPr>
          <w:rFonts w:eastAsia="Lucida Sans Unicode" w:cs="Times New Roman" w:ascii="Times New Roman" w:hAnsi="Times New Roman"/>
          <w:sz w:val="24"/>
          <w:szCs w:val="24"/>
          <w:lang w:eastAsia="ar-SA"/>
        </w:rPr>
        <w:t>2) аллеи и дороги - 10-25% от общей площади зоны;</w:t>
      </w:r>
    </w:p>
    <w:p>
      <w:pPr>
        <w:pStyle w:val="Normal"/>
        <w:widowControl w:val="false"/>
        <w:suppressAutoHyphens w:val="true"/>
        <w:spacing w:lineRule="auto" w:line="240" w:before="0" w:after="0"/>
        <w:ind w:firstLine="567"/>
        <w:jc w:val="both"/>
        <w:rPr>
          <w:rFonts w:ascii="Times New Roman" w:hAnsi="Times New Roman" w:eastAsia="Lucida Sans Unicode" w:cs="Times New Roman"/>
          <w:sz w:val="24"/>
          <w:szCs w:val="24"/>
          <w:lang w:eastAsia="ar-SA"/>
        </w:rPr>
      </w:pPr>
      <w:r>
        <w:rPr>
          <w:rFonts w:eastAsia="Lucida Sans Unicode" w:cs="Times New Roman" w:ascii="Times New Roman" w:hAnsi="Times New Roman"/>
          <w:sz w:val="24"/>
          <w:szCs w:val="24"/>
          <w:lang w:eastAsia="ar-SA"/>
        </w:rPr>
        <w:t>3) площадки - 8-12% от общей площади зоны.</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pPr>
        <w:pStyle w:val="Normal"/>
        <w:spacing w:lineRule="auto" w:line="240" w:before="0" w:after="0"/>
        <w:ind w:firstLine="567"/>
        <w:jc w:val="both"/>
        <w:rPr>
          <w:rFonts w:ascii="Times New Roman" w:hAnsi="Times New Roman" w:eastAsia="Calibri" w:cs="Times New Roman"/>
          <w:bCs/>
          <w:sz w:val="24"/>
          <w:szCs w:val="24"/>
        </w:rPr>
      </w:pPr>
      <w:r>
        <w:rPr>
          <w:rFonts w:eastAsia="Calibri" w:cs="Times New Roman" w:ascii="Times New Roman" w:hAnsi="Times New Roman"/>
          <w:bCs/>
          <w:sz w:val="24"/>
          <w:szCs w:val="24"/>
        </w:rPr>
        <w:t>На территории зон рекреационного назначения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назначения.</w:t>
      </w:r>
    </w:p>
    <w:p>
      <w:pPr>
        <w:pStyle w:val="Normal"/>
        <w:keepNext/>
        <w:keepLines/>
        <w:widowControl w:val="false"/>
        <w:numPr>
          <w:ilvl w:val="0"/>
          <w:numId w:val="0"/>
        </w:numPr>
        <w:spacing w:lineRule="auto" w:line="240" w:before="0" w:after="0"/>
        <w:outlineLvl w:val="1"/>
        <w:rPr>
          <w:rFonts w:ascii="Times New Roman" w:hAnsi="Times New Roman" w:eastAsia="Times New Roman" w:cs="Times New Roman"/>
          <w:b/>
          <w:b/>
          <w:bCs/>
          <w:i/>
          <w:i/>
          <w:sz w:val="24"/>
          <w:szCs w:val="24"/>
          <w:lang w:bidi="ru-RU"/>
        </w:rPr>
      </w:pPr>
      <w:bookmarkStart w:id="100" w:name="_Toc484865793"/>
      <w:bookmarkStart w:id="101" w:name="_Toc485621482"/>
      <w:bookmarkEnd w:id="100"/>
      <w:bookmarkEnd w:id="101"/>
      <w:r>
        <w:rPr>
          <w:rFonts w:eastAsia="Times New Roman" w:cs="Times New Roman" w:ascii="Times New Roman" w:hAnsi="Times New Roman"/>
          <w:b/>
          <w:bCs/>
          <w:i/>
          <w:sz w:val="24"/>
          <w:szCs w:val="24"/>
          <w:lang w:bidi="ru-RU"/>
        </w:rPr>
        <w:t>Статья 53. Р-2. Зона зеленых насаждений и озеленённых территорий защитного значения</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выделена для обеспечения правовых условий сохранения и использования существующего природного ландшафта и создания экологически чистой окружающей среды в интересах здоровья населения, сохранения и воспроизводства лесов, обеспечение их рационального использования в соответствии с требованиями федерального законодательства. Зона так же включает в себя все насаждения, выполняющие функции защиты территорий от оползневых явлений, от предприятий, имеющих негативное влияние на окружающую среду и для защиты почв от деградации.</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Виды разрешенного использования земельных участков и объектов капитального строительства.</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7478"/>
        <w:gridCol w:w="1848"/>
      </w:tblGrid>
      <w:tr>
        <w:trPr/>
        <w:tc>
          <w:tcPr>
            <w:tcW w:w="747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Код</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Охрана природных территорий</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9.1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Историко-культурная </w:t>
            </w:r>
            <w:r>
              <w:rPr>
                <w:rFonts w:eastAsia="Times New Roman" w:cs="Times New Roman" w:ascii="Times New Roman" w:hAnsi="Times New Roman"/>
                <w:sz w:val="24"/>
                <w:szCs w:val="24"/>
              </w:rPr>
              <w:t>деятельность</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9.3</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Использование лесов</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10.0</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cs="Times New Roman" w:ascii="Times New Roman" w:hAnsi="Times New Roman"/>
                <w:sz w:val="24"/>
                <w:szCs w:val="24"/>
              </w:rPr>
              <w:t>Гидротехнические сооружения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11.3</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12.0</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Охота и рыбалка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5.3</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3.9.1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Коммунальное </w:t>
            </w:r>
            <w:r>
              <w:rPr>
                <w:rFonts w:eastAsia="Times New Roman" w:cs="Times New Roman" w:ascii="Times New Roman" w:hAnsi="Times New Roman"/>
                <w:sz w:val="24"/>
                <w:szCs w:val="24"/>
              </w:rPr>
              <w:t>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3.1</w:t>
            </w:r>
          </w:p>
        </w:tc>
      </w:tr>
      <w:tr>
        <w:trPr/>
        <w:tc>
          <w:tcPr>
            <w:tcW w:w="747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eastAsia="Times New Roman" w:cs="Times New Roman" w:ascii="Times New Roman" w:hAnsi="Times New Roman"/>
                <w:sz w:val="24"/>
                <w:szCs w:val="24"/>
              </w:rPr>
              <w:t>Трубопроводный транспорт</w:t>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7.5</w:t>
            </w:r>
          </w:p>
        </w:tc>
      </w:tr>
      <w:tr>
        <w:trPr/>
        <w:tc>
          <w:tcPr>
            <w:tcW w:w="747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Связь</w:t>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6.8</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1. Предельные (минимальные и (или) максимальные) размеры земельных участков, в том числе их площадь:</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5098"/>
        <w:gridCol w:w="4228"/>
      </w:tblGrid>
      <w:tr>
        <w:trPr/>
        <w:tc>
          <w:tcPr>
            <w:tcW w:w="509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422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Предельные размеры земельных участков (мин.-макс.),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Охрана природных территорий</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Историко-культурная </w:t>
            </w:r>
            <w:r>
              <w:rPr>
                <w:rFonts w:eastAsia="Times New Roman" w:cs="Times New Roman" w:ascii="Times New Roman" w:hAnsi="Times New Roman"/>
                <w:sz w:val="24"/>
                <w:szCs w:val="24"/>
              </w:rPr>
              <w:t>деятельность</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Использование лесов</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cs="Times New Roman" w:ascii="Times New Roman" w:hAnsi="Times New Roman"/>
                <w:sz w:val="24"/>
                <w:szCs w:val="24"/>
              </w:rPr>
              <w:t>Гидротехнические сооружения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cs="Times New Roman"/>
                <w:sz w:val="24"/>
                <w:szCs w:val="24"/>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Охота и рыбалка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Коммунальное </w:t>
            </w:r>
            <w:r>
              <w:rPr>
                <w:rFonts w:eastAsia="Times New Roman" w:cs="Times New Roman" w:ascii="Times New Roman" w:hAnsi="Times New Roman"/>
                <w:sz w:val="24"/>
                <w:szCs w:val="24"/>
              </w:rPr>
              <w:t>обслуживание</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eastAsia="Times New Roman" w:cs="Times New Roman" w:ascii="Times New Roman" w:hAnsi="Times New Roman"/>
                <w:sz w:val="24"/>
                <w:szCs w:val="24"/>
              </w:rPr>
              <w:t>Трубопроводный транспорт</w:t>
            </w:r>
          </w:p>
        </w:tc>
        <w:tc>
          <w:tcPr>
            <w:tcW w:w="4228"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Связь</w:t>
            </w:r>
          </w:p>
        </w:tc>
        <w:tc>
          <w:tcPr>
            <w:tcW w:w="4228"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минимальный отступ зданий, строений и сооружений от границ земельных участков - 1 метр.</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3. Предельное количество этажей или предельная высота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Предельное количество этажей или предельная высота зданий, строений, сооружений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Максимальный процент застройки в границах земельного участка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5. Иные предельные параметры разрешенного строительства, реконструкции объектов капитального строительства.</w:t>
      </w:r>
    </w:p>
    <w:p>
      <w:pPr>
        <w:pStyle w:val="Normal"/>
        <w:widowControl w:val="false"/>
        <w:spacing w:lineRule="auto" w:line="240" w:before="0" w:after="0"/>
        <w:ind w:firstLine="567"/>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градостроительные и строительные нормы и правила.</w:t>
      </w:r>
    </w:p>
    <w:p>
      <w:pPr>
        <w:pStyle w:val="Normal"/>
        <w:widowControl w:val="false"/>
        <w:numPr>
          <w:ilvl w:val="0"/>
          <w:numId w:val="0"/>
        </w:numPr>
        <w:spacing w:lineRule="auto" w:line="240" w:before="0" w:after="0"/>
        <w:ind w:firstLine="567"/>
        <w:outlineLvl w:val="0"/>
        <w:rPr>
          <w:rFonts w:ascii="Times New Roman" w:hAnsi="Times New Roman" w:eastAsia="Tahoma" w:cs="Times New Roman"/>
          <w:b/>
          <w:b/>
          <w:bCs/>
          <w:sz w:val="24"/>
          <w:szCs w:val="24"/>
        </w:rPr>
      </w:pPr>
      <w:bookmarkStart w:id="102" w:name="_Toc484865797"/>
      <w:bookmarkStart w:id="103" w:name="_Toc485621483"/>
      <w:bookmarkEnd w:id="102"/>
      <w:bookmarkEnd w:id="103"/>
      <w:r>
        <w:rPr>
          <w:rFonts w:eastAsia="Tahoma" w:cs="Times New Roman" w:ascii="Times New Roman" w:hAnsi="Times New Roman"/>
          <w:b/>
          <w:bCs/>
          <w:smallCaps/>
          <w:sz w:val="24"/>
          <w:szCs w:val="24"/>
          <w:lang w:bidi="ru-RU"/>
        </w:rPr>
        <w:t>ЗОНЫ ИНЖЕНЕРНОЙ И ТРАНСПОРТНОЙ ИНФРАСТРУКТУР</w:t>
      </w:r>
    </w:p>
    <w:p>
      <w:pPr>
        <w:pStyle w:val="Normal"/>
        <w:widowControl w:val="false"/>
        <w:numPr>
          <w:ilvl w:val="0"/>
          <w:numId w:val="0"/>
        </w:numPr>
        <w:spacing w:lineRule="auto" w:line="240" w:before="0" w:after="0"/>
        <w:ind w:firstLine="567"/>
        <w:jc w:val="both"/>
        <w:outlineLvl w:val="1"/>
        <w:rPr>
          <w:rFonts w:ascii="Times New Roman" w:hAnsi="Times New Roman" w:eastAsia="Times New Roman" w:cs="Times New Roman"/>
          <w:b/>
          <w:b/>
          <w:bCs/>
          <w:i/>
          <w:i/>
          <w:sz w:val="24"/>
          <w:szCs w:val="24"/>
        </w:rPr>
      </w:pPr>
      <w:bookmarkStart w:id="104" w:name="_Toc484865798"/>
      <w:bookmarkStart w:id="105" w:name="_Toc485621484"/>
      <w:bookmarkEnd w:id="104"/>
      <w:bookmarkEnd w:id="105"/>
      <w:r>
        <w:rPr>
          <w:rFonts w:eastAsia="Tahoma" w:cs="Times New Roman" w:ascii="Times New Roman" w:hAnsi="Times New Roman"/>
          <w:b/>
          <w:bCs/>
          <w:i/>
          <w:sz w:val="24"/>
          <w:szCs w:val="24"/>
        </w:rPr>
        <w:t>Статья 54. ИТ-1 Зона предприятий автомобильного транспорта, магистральных улиц, дорог, объектов коммунального хозяйства и объектов инженерной инфраструктуры</w:t>
      </w:r>
    </w:p>
    <w:p>
      <w:pPr>
        <w:pStyle w:val="Normal"/>
        <w:snapToGrid w:val="false"/>
        <w:spacing w:lineRule="auto" w:line="240" w:before="0" w:after="0"/>
        <w:ind w:firstLine="567"/>
        <w:jc w:val="both"/>
        <w:rPr>
          <w:rFonts w:ascii="Times New Roman" w:hAnsi="Times New Roman" w:eastAsia="Tahoma" w:cs="Times New Roman"/>
          <w:sz w:val="24"/>
          <w:szCs w:val="24"/>
          <w:lang w:bidi="ru-RU"/>
        </w:rPr>
      </w:pPr>
      <w:r>
        <w:rPr>
          <w:rFonts w:eastAsia="Tahoma" w:cs="Times New Roman" w:ascii="Times New Roman" w:hAnsi="Times New Roman"/>
          <w:sz w:val="24"/>
          <w:szCs w:val="24"/>
          <w:lang w:bidi="ru-RU"/>
        </w:rPr>
        <w:t>Зона включает в себя участки предназначенные для размещения объектов автомобильного транспорта и установления санитарно-защитных зон и санитарных разрывов таких объектов, установления полос отвода автомобильных дорог, а также размещения объектов дорожного сервиса и дорожного хозяйства, объектов благоустройства, при условии соответствия  требованиям законодательства о безопасности движения, а также участки предназначенные для размещения сетей инженерно-технического  обеспечения, включая линии электропередачи, линии связи (в том числе линейно-кабельные сооружения), трубопроводы, для размещения иных объектов инженерной инфраструктуры, установления санитарно-защитных зон и санитарных разрывов таких объектов, установления охранных зон объектов инженерной инфраструктуры, а также размещения иных объектов, в случаях, предусмотренных настоящими регламентами.</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Виды разрешенного использования земельных участков и объектов капитального строительства.</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7478"/>
        <w:gridCol w:w="1848"/>
      </w:tblGrid>
      <w:tr>
        <w:trPr/>
        <w:tc>
          <w:tcPr>
            <w:tcW w:w="747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Код</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Объекты гаражного назначения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2.7.1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Коммунальное </w:t>
            </w:r>
            <w:r>
              <w:rPr>
                <w:rFonts w:eastAsia="Times New Roman" w:cs="Times New Roman" w:ascii="Times New Roman" w:hAnsi="Times New Roman"/>
                <w:sz w:val="24"/>
                <w:szCs w:val="24"/>
              </w:rPr>
              <w:t>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3.1</w:t>
            </w:r>
          </w:p>
        </w:tc>
      </w:tr>
      <w:tr>
        <w:trPr/>
        <w:tc>
          <w:tcPr>
            <w:tcW w:w="747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3.9.1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Магазины</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4.4</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Обслуживание автотранспорта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4.9</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Объекты придорожного сервиса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4.9.1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Связь </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6.8</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Склады</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6.9</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Железнодорожный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7.2</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Водный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7.3</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Воздушный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7.4</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Трубопроводный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7.5</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cs="Times New Roman" w:ascii="Times New Roman" w:hAnsi="Times New Roman"/>
                <w:sz w:val="24"/>
                <w:szCs w:val="24"/>
              </w:rPr>
              <w:t>Гидротехнические сооружения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11.3</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12.0</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747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3.9.1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Деловое управление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4.1</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внутреннего правопорядка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8.3</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1. Предельные (минимальные и (или) максимальные) размеры земельных участков, в том числе их площадь:</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5098"/>
        <w:gridCol w:w="4228"/>
      </w:tblGrid>
      <w:tr>
        <w:trPr/>
        <w:tc>
          <w:tcPr>
            <w:tcW w:w="509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422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Предельные размеры земельных участков (мин.-макс.),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Объекты гаражного назначения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Коммунальное </w:t>
            </w:r>
            <w:r>
              <w:rPr>
                <w:rFonts w:eastAsia="Times New Roman" w:cs="Times New Roman" w:ascii="Times New Roman" w:hAnsi="Times New Roman"/>
                <w:sz w:val="24"/>
                <w:szCs w:val="24"/>
              </w:rPr>
              <w:t>обслуживание</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4228"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Магазины</w:t>
            </w:r>
          </w:p>
        </w:tc>
        <w:tc>
          <w:tcPr>
            <w:tcW w:w="4228" w:type="dxa"/>
            <w:tcBorders/>
            <w:shd w:fill="auto" w:val="clear"/>
            <w:tcMar>
              <w:left w:w="73" w:type="dxa"/>
            </w:tcMar>
            <w:vAlign w:val="center"/>
          </w:tcPr>
          <w:p>
            <w:pPr>
              <w:pStyle w:val="Normal"/>
              <w:widowControl w:val="false"/>
              <w:spacing w:lineRule="auto" w:line="240" w:before="0" w:after="0"/>
              <w:jc w:val="both"/>
              <w:rPr>
                <w:rFonts w:ascii="Times New Roman" w:hAnsi="Times New Roman" w:eastAsia="Times New Roman" w:cs="Times New Roman"/>
                <w:sz w:val="24"/>
                <w:szCs w:val="24"/>
                <w:lang w:bidi="ru-RU"/>
              </w:rPr>
            </w:pPr>
            <w:r>
              <w:rPr>
                <w:rFonts w:cs="Times New Roman" w:ascii="Times New Roman" w:hAnsi="Times New Roman"/>
                <w:sz w:val="24"/>
                <w:szCs w:val="24"/>
              </w:rPr>
              <w:t>Максимальная площадь земельного участка 1600 кв.м, из расчета 800 кв.м участка на 100 кв. м торговой площади</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Обслуживание автотранспорта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15-500 кв.м</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Объекты придорожного сервиса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300-3000 кв.м</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Связь </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Склады</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Максимальная площадь земельного участка 600 кв.м</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Железнодорожный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Водный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Воздушный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Трубопроводный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cs="Times New Roman" w:ascii="Times New Roman" w:hAnsi="Times New Roman"/>
                <w:sz w:val="24"/>
                <w:szCs w:val="24"/>
              </w:rPr>
              <w:t>Гидротехнические сооружения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Деловое управление</w:t>
            </w:r>
          </w:p>
        </w:tc>
        <w:tc>
          <w:tcPr>
            <w:tcW w:w="4228" w:type="dxa"/>
            <w:tcBorders/>
            <w:shd w:fill="auto" w:val="clear"/>
            <w:tcMar>
              <w:left w:w="73" w:type="dxa"/>
            </w:tcMar>
            <w:vAlign w:val="center"/>
          </w:tcPr>
          <w:p>
            <w:pPr>
              <w:pStyle w:val="Normal"/>
              <w:widowControl w:val="false"/>
              <w:spacing w:lineRule="auto" w:line="240" w:before="0" w:after="0"/>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Максимальная площадь земельного участка 1200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внутреннего правопорядка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4-1000 кв.м</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widowControl w:val="fals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минимальный отступ от границ соседних земельных участков - 1 метр.</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3. Предельное количество этажей или предельная высота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Предельное количество этажей или предельная высота зданий, строений, сооружений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Максимальный процент застройки в границах земельного участка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5. Иные предельные параметры разрешенного строительства, реконструкции объектов капитального строительства.</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Расстояния от АЗС с подземными резервуарами для хранения жидкого топлива до границ земельных участков детских дошкольных учреждений, общеобразовательных школ, школ- интернатов, лечебных учреждений со стационаром или до стен жилых и других общественных зданий и сооружений следует принимать не менее 50 м. Указанное расстояние следует определять от топливораздаточных колонок и подземных резервуаров для хранения жидкого топлива (СНиП 2.07.01-89*); расстояния от АЗС, предназначенных для заправки только легковых автомобилей в количестве не более 500 машин в сутки, до указанных объектов допускается уменьшать, но принимать не менее 25 м (СНиП 2.07.01-89*);</w:t>
      </w:r>
    </w:p>
    <w:p>
      <w:pPr>
        <w:pStyle w:val="Normal"/>
        <w:spacing w:lineRule="auto" w:line="240" w:before="0" w:after="0"/>
        <w:ind w:firstLine="567"/>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При размещении зданий, строений и сооружений должны соблюдаться установленные законодательством нормы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градостроительные и строительные нормы и правила.</w:t>
      </w:r>
    </w:p>
    <w:p>
      <w:pPr>
        <w:pStyle w:val="Normal"/>
        <w:widowControl w:val="false"/>
        <w:numPr>
          <w:ilvl w:val="0"/>
          <w:numId w:val="0"/>
        </w:numPr>
        <w:spacing w:lineRule="auto" w:line="240" w:before="0" w:after="0"/>
        <w:ind w:firstLine="567"/>
        <w:outlineLvl w:val="1"/>
        <w:rPr>
          <w:rFonts w:ascii="Times New Roman" w:hAnsi="Times New Roman" w:eastAsia="Times New Roman" w:cs="Times New Roman"/>
          <w:b/>
          <w:b/>
          <w:bCs/>
          <w:i/>
          <w:i/>
          <w:sz w:val="24"/>
          <w:szCs w:val="24"/>
        </w:rPr>
      </w:pPr>
      <w:bookmarkStart w:id="106" w:name="_Toc485621485"/>
      <w:bookmarkEnd w:id="106"/>
      <w:r>
        <w:rPr>
          <w:rFonts w:eastAsia="Tahoma" w:cs="Times New Roman" w:ascii="Times New Roman" w:hAnsi="Times New Roman"/>
          <w:b/>
          <w:bCs/>
          <w:i/>
          <w:sz w:val="24"/>
          <w:szCs w:val="24"/>
        </w:rPr>
        <w:t>Статья 55. ИТ-3 Зона воздушного транспорта</w:t>
      </w:r>
    </w:p>
    <w:p>
      <w:pPr>
        <w:pStyle w:val="Normal"/>
        <w:snapToGrid w:val="false"/>
        <w:spacing w:lineRule="auto" w:line="240" w:before="0" w:after="0"/>
        <w:ind w:firstLine="567"/>
        <w:jc w:val="both"/>
        <w:rPr>
          <w:rFonts w:ascii="Times New Roman" w:hAnsi="Times New Roman" w:eastAsia="Tahoma" w:cs="Times New Roman"/>
          <w:sz w:val="24"/>
          <w:szCs w:val="24"/>
          <w:lang w:bidi="ru-RU"/>
        </w:rPr>
      </w:pPr>
      <w:r>
        <w:rPr>
          <w:rFonts w:eastAsia="Tahoma" w:cs="Times New Roman" w:ascii="Times New Roman" w:hAnsi="Times New Roman"/>
          <w:sz w:val="24"/>
          <w:szCs w:val="24"/>
          <w:lang w:bidi="ru-RU"/>
        </w:rPr>
        <w:t>Зона объектов воздушного транспорта выделена для обеспечения правовых условий градостроительной деятельности в части размещения предприятий и объектов ее обслуживания.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Виды разрешенного использования земельных участков и объектов капитального строительства.</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7478"/>
        <w:gridCol w:w="1848"/>
      </w:tblGrid>
      <w:tr>
        <w:trPr/>
        <w:tc>
          <w:tcPr>
            <w:tcW w:w="747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Код</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Объекты гаражного назначения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2.7.1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Коммунальное </w:t>
            </w:r>
            <w:r>
              <w:rPr>
                <w:rFonts w:eastAsia="Times New Roman" w:cs="Times New Roman" w:ascii="Times New Roman" w:hAnsi="Times New Roman"/>
                <w:sz w:val="24"/>
                <w:szCs w:val="24"/>
              </w:rPr>
              <w:t>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3.1</w:t>
            </w:r>
          </w:p>
        </w:tc>
      </w:tr>
      <w:tr>
        <w:trPr/>
        <w:tc>
          <w:tcPr>
            <w:tcW w:w="747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3.9.1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Магазины</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4.4</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Обслуживание автотранспорта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4.9</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Объекты придорожного сервиса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4.9.1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Связь </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6.8</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Склады</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6.9</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Железнодорожный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7.2</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Воздушный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7.4</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Трубопроводный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7.5</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12.0</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Деловое управление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4.1</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внутреннего правопорядка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8.3</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1. Предельные (минимальные и (или) максимальные) размеры земельных участков, в том числе их площадь:</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5098"/>
        <w:gridCol w:w="4228"/>
      </w:tblGrid>
      <w:tr>
        <w:trPr/>
        <w:tc>
          <w:tcPr>
            <w:tcW w:w="509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422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Предельные размеры земельных участков (мин.-макс.),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Объекты гаражного назначения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Коммунальное </w:t>
            </w:r>
            <w:r>
              <w:rPr>
                <w:rFonts w:eastAsia="Times New Roman" w:cs="Times New Roman" w:ascii="Times New Roman" w:hAnsi="Times New Roman"/>
                <w:sz w:val="24"/>
                <w:szCs w:val="24"/>
              </w:rPr>
              <w:t>обслуживание</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4228"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Магазины</w:t>
            </w:r>
          </w:p>
        </w:tc>
        <w:tc>
          <w:tcPr>
            <w:tcW w:w="4228" w:type="dxa"/>
            <w:tcBorders/>
            <w:shd w:fill="auto" w:val="clear"/>
            <w:tcMar>
              <w:left w:w="73" w:type="dxa"/>
            </w:tcMar>
            <w:vAlign w:val="center"/>
          </w:tcPr>
          <w:p>
            <w:pPr>
              <w:pStyle w:val="Normal"/>
              <w:widowControl w:val="false"/>
              <w:spacing w:lineRule="auto" w:line="240" w:before="0" w:after="0"/>
              <w:jc w:val="both"/>
              <w:rPr>
                <w:rFonts w:ascii="Times New Roman" w:hAnsi="Times New Roman" w:eastAsia="Times New Roman" w:cs="Times New Roman"/>
                <w:sz w:val="24"/>
                <w:szCs w:val="24"/>
                <w:lang w:bidi="ru-RU"/>
              </w:rPr>
            </w:pPr>
            <w:r>
              <w:rPr>
                <w:rFonts w:cs="Times New Roman" w:ascii="Times New Roman" w:hAnsi="Times New Roman"/>
                <w:sz w:val="24"/>
                <w:szCs w:val="24"/>
              </w:rPr>
              <w:t>Максимальная площадь земельного участка 1600 кв.м, из расчета 800 кв.м участка на 100 кв. м торговой площади</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Обслуживание автотранспорта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15-500 кв.м</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Объекты придорожного сервиса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300-3000 кв.м</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Связь </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imes New Roman" w:cs="Times New Roman" w:ascii="Times New Roman" w:hAnsi="Times New Roman"/>
                <w:sz w:val="24"/>
                <w:szCs w:val="24"/>
                <w:lang w:bidi="ru-RU"/>
              </w:rPr>
              <w:t>Склады</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Максимальная площадь земельного участка 600 кв.м</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Железнодорожный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Воздушный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Трубопроводный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cs="Times New Roman" w:ascii="Times New Roman" w:hAnsi="Times New Roman"/>
                <w:sz w:val="24"/>
                <w:szCs w:val="24"/>
              </w:rPr>
              <w:t>Гидротехнические сооружения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509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4228"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Деловое управление</w:t>
            </w:r>
          </w:p>
        </w:tc>
        <w:tc>
          <w:tcPr>
            <w:tcW w:w="4228" w:type="dxa"/>
            <w:tcBorders/>
            <w:shd w:fill="auto" w:val="clear"/>
            <w:tcMar>
              <w:left w:w="73" w:type="dxa"/>
            </w:tcMar>
            <w:vAlign w:val="center"/>
          </w:tcPr>
          <w:p>
            <w:pPr>
              <w:pStyle w:val="Normal"/>
              <w:widowControl w:val="false"/>
              <w:spacing w:lineRule="auto" w:line="240" w:before="0" w:after="0"/>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Максимальная площадь земельного участка 1200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внутреннего правопорядка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4-1000 кв.м</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widowControl w:val="fals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минимальный отступ от границ соседних земельных участков - 1 метр.</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3. Предельное количество этажей или предельная высота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Предельное количество этажей или предельная высота зданий, строений, сооружений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Максимальный процент застройки в границах земельного участка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5. Иные предельные параметры разрешенного строительства, реконструкции объектов капитального строительства.</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Расстояния от АЗС с подземными резервуарами для хранения жидкого топлива до границ земельных участков детских дошкольных учреждений, общеобразовательных школ, школ- интернатов, лечебных учреждений со стационаром или до стен жилых и других общественных зданий и сооружений следует принимать не менее 50 м. Указанное расстояние следует определять от топливораздаточных колонок и подземных резервуаров для хранения жидкого топлива (СНиП 2.07.01-89*); расстояния от АЗС, предназначенных для заправки только легковых автомобилей в количестве не более 500 машин в сутки, до указанных объектов допускается уменьшать, но принимать не менее 25 м (СНиП 2.07.01-89*);</w:t>
      </w:r>
    </w:p>
    <w:p>
      <w:pPr>
        <w:pStyle w:val="Normal"/>
        <w:spacing w:lineRule="auto" w:line="240" w:before="0" w:after="0"/>
        <w:ind w:firstLine="567"/>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При размещении зданий, строений и сооружений должны соблюдаться установленные законодательством нормы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градостроительные и строительные нормы и правила.</w:t>
      </w:r>
    </w:p>
    <w:p>
      <w:pPr>
        <w:pStyle w:val="Normal"/>
        <w:keepNext/>
        <w:keepLines/>
        <w:widowControl w:val="false"/>
        <w:numPr>
          <w:ilvl w:val="0"/>
          <w:numId w:val="0"/>
        </w:numPr>
        <w:spacing w:lineRule="auto" w:line="240" w:before="0" w:after="0"/>
        <w:ind w:firstLine="567"/>
        <w:outlineLvl w:val="1"/>
        <w:rPr>
          <w:rFonts w:ascii="Times New Roman" w:hAnsi="Times New Roman" w:eastAsia="Times New Roman" w:cs="Times New Roman"/>
          <w:b/>
          <w:b/>
          <w:bCs/>
          <w:sz w:val="24"/>
          <w:szCs w:val="24"/>
          <w:lang w:bidi="ru-RU"/>
        </w:rPr>
      </w:pPr>
      <w:bookmarkStart w:id="107" w:name="_Toc485621486"/>
      <w:bookmarkEnd w:id="107"/>
      <w:r>
        <w:rPr>
          <w:rFonts w:eastAsia="Times New Roman" w:cs="Times New Roman" w:ascii="Times New Roman" w:hAnsi="Times New Roman"/>
          <w:b/>
          <w:bCs/>
          <w:sz w:val="24"/>
          <w:szCs w:val="24"/>
          <w:lang w:bidi="ru-RU"/>
        </w:rPr>
        <w:t>ЗОНЫ ОБЕСПЕЧЕНИЯ ОБОРОНЫ И БЕЗОПАСНОСТИ</w:t>
      </w:r>
    </w:p>
    <w:p>
      <w:pPr>
        <w:pStyle w:val="Normal"/>
        <w:widowControl w:val="false"/>
        <w:numPr>
          <w:ilvl w:val="0"/>
          <w:numId w:val="0"/>
        </w:numPr>
        <w:spacing w:lineRule="auto" w:line="240" w:before="0" w:after="0"/>
        <w:ind w:firstLine="567"/>
        <w:outlineLvl w:val="1"/>
        <w:rPr>
          <w:rFonts w:ascii="Times New Roman" w:hAnsi="Times New Roman" w:eastAsia="Times New Roman" w:cs="Times New Roman"/>
          <w:b/>
          <w:b/>
          <w:bCs/>
          <w:i/>
          <w:i/>
          <w:sz w:val="24"/>
          <w:szCs w:val="24"/>
        </w:rPr>
      </w:pPr>
      <w:bookmarkStart w:id="108" w:name="_Toc485621487"/>
      <w:bookmarkEnd w:id="108"/>
      <w:r>
        <w:rPr>
          <w:rFonts w:eastAsia="Tahoma" w:cs="Times New Roman" w:ascii="Times New Roman" w:hAnsi="Times New Roman"/>
          <w:b/>
          <w:bCs/>
          <w:i/>
          <w:sz w:val="24"/>
          <w:szCs w:val="24"/>
        </w:rPr>
        <w:t>Статья 56. ОБ Зона обеспечения обороны и безопасности</w:t>
      </w:r>
    </w:p>
    <w:p>
      <w:pPr>
        <w:pStyle w:val="Normal"/>
        <w:snapToGrid w:val="false"/>
        <w:spacing w:lineRule="auto" w:line="240" w:before="0" w:after="0"/>
        <w:ind w:firstLine="567"/>
        <w:jc w:val="both"/>
        <w:rPr>
          <w:rFonts w:ascii="Times New Roman" w:hAnsi="Times New Roman" w:eastAsia="Tahoma" w:cs="Times New Roman"/>
          <w:sz w:val="24"/>
          <w:szCs w:val="24"/>
          <w:lang w:bidi="ru-RU"/>
        </w:rPr>
      </w:pPr>
      <w:r>
        <w:rPr>
          <w:rFonts w:eastAsia="Tahoma" w:cs="Times New Roman" w:ascii="Times New Roman" w:hAnsi="Times New Roman"/>
          <w:sz w:val="24"/>
          <w:szCs w:val="24"/>
          <w:lang w:bidi="ru-RU"/>
        </w:rPr>
        <w:t>Зона обеспечения обороны и безопасности выделяется с целью размещения объектов деятельности Вооруженных Сил Российской Федерации, других войск, воинских формирований и органов, организаций, предприятий, учреждений, осуществляющих функции по вооруженной защите целостности и неприкосновенности территории Российской Федерации.</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Виды разрешенного использования земельных участков и объектов капитального строительства.</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7478"/>
        <w:gridCol w:w="1848"/>
      </w:tblGrid>
      <w:tr>
        <w:trPr/>
        <w:tc>
          <w:tcPr>
            <w:tcW w:w="747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Код</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Объекты гаражного назначения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2.7.1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Коммунальное </w:t>
            </w:r>
            <w:r>
              <w:rPr>
                <w:rFonts w:eastAsia="Times New Roman" w:cs="Times New Roman" w:ascii="Times New Roman" w:hAnsi="Times New Roman"/>
                <w:sz w:val="24"/>
                <w:szCs w:val="24"/>
              </w:rPr>
              <w:t>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3.1</w:t>
            </w:r>
          </w:p>
        </w:tc>
      </w:tr>
      <w:tr>
        <w:trPr/>
        <w:tc>
          <w:tcPr>
            <w:tcW w:w="747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3.9.1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Обслуживание автотранспорта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4.9</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Объекты придорожного сервиса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4.9.1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Связь </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6.8</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Склады</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6.9</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Железнодорожный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7.2</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Воздушный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7.4</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Трубопроводный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7.5</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Обеспечение обороны и безопасности</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8.0</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Обеспечение вооруженных сил</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8.1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Охрана Государственной границы Российской Федерации</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8.2</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внутреннего правопорядка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8.3</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деятельности по исполнению наказаний</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8.4</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12.0</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Деловое управление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4.1</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1. Предельные (минимальные и (или) максимальные) размеры земельных участков, в том числе их площадь:</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5098"/>
        <w:gridCol w:w="4228"/>
      </w:tblGrid>
      <w:tr>
        <w:trPr/>
        <w:tc>
          <w:tcPr>
            <w:tcW w:w="509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422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Предельные размеры земельных участков (мин.-макс.),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Объекты гаражного назначения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Коммунальное </w:t>
            </w:r>
            <w:r>
              <w:rPr>
                <w:rFonts w:eastAsia="Times New Roman" w:cs="Times New Roman" w:ascii="Times New Roman" w:hAnsi="Times New Roman"/>
                <w:sz w:val="24"/>
                <w:szCs w:val="24"/>
              </w:rPr>
              <w:t>обслуживание</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4228"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Обслуживание автотранспорта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Объекты придорожного сервиса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Связь </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Склады</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Железнодорожный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Автомобильный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Воздушный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Трубопроводный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Обеспечение обороны и безопасности</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Обеспечение вооруженных сил</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Охрана Государственной границы Российской Федерации</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внутреннего правопорядка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Обеспечение деятельности по исполнению наказаний</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509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4228" w:type="dxa"/>
            <w:tcBorders/>
            <w:shd w:fill="auto" w:val="clear"/>
            <w:tcMar>
              <w:left w:w="73" w:type="dxa"/>
            </w:tcMar>
          </w:tcPr>
          <w:p>
            <w:pPr>
              <w:pStyle w:val="Normal"/>
              <w:spacing w:lineRule="auto" w:line="240" w:before="0" w:after="0"/>
              <w:rPr>
                <w:rFonts w:ascii="Times New Roman" w:hAnsi="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Деловое управление</w:t>
            </w:r>
          </w:p>
        </w:tc>
        <w:tc>
          <w:tcPr>
            <w:tcW w:w="4228" w:type="dxa"/>
            <w:tcBorders/>
            <w:shd w:fill="auto" w:val="clear"/>
            <w:tcMar>
              <w:left w:w="73" w:type="dxa"/>
            </w:tcMar>
            <w:vAlign w:val="center"/>
          </w:tcPr>
          <w:p>
            <w:pPr>
              <w:pStyle w:val="Normal"/>
              <w:widowControl w:val="false"/>
              <w:spacing w:lineRule="auto" w:line="240" w:before="0" w:after="0"/>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Максимальная площадь земельного участка 1200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widowControl w:val="fals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минимальный отступ от границ соседних земельных участков - 1 метр.</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3. Предельное количество этажей или предельная высота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Предельное количество этажей или предельная высота зданий, строений, сооружений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Максимальный процент застройки в границах земельного участка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5. Иные предельные параметры разрешенного строительства, реконструкции объектов капитального строительства.</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Расстояния от АЗС с подземными резервуарами для хранения жидкого топлива до границ земельных участков детских дошкольных учреждений, общеобразовательных школ, школ- интернатов, лечебных учреждений со стационаром или до стен жилых и других общественных зданий и сооружений следует принимать не менее 50 м. Указанное расстояние следует определять от топливораздаточных колонок и подземных резервуаров для хранения жидкого топлива (СНиП 2.07.01-89*); расстояния от АЗС, предназначенных для заправки только легковых автомобилей в количестве не более 500 машин в сутки, до указанных объектов допускается уменьшать, но принимать не менее 25 м (СНиП 2.07.01-89*);</w:t>
      </w:r>
    </w:p>
    <w:p>
      <w:pPr>
        <w:pStyle w:val="Normal"/>
        <w:spacing w:lineRule="auto" w:line="240" w:before="0" w:after="0"/>
        <w:ind w:firstLine="567"/>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При размещении зданий, строений и сооружений должны соблюдаться установленные законодательством нормы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градостроительные и строительные нормы и правила.</w:t>
      </w:r>
    </w:p>
    <w:p>
      <w:pPr>
        <w:pStyle w:val="Normal"/>
        <w:keepNext/>
        <w:keepLines/>
        <w:widowControl w:val="false"/>
        <w:numPr>
          <w:ilvl w:val="0"/>
          <w:numId w:val="0"/>
        </w:numPr>
        <w:spacing w:lineRule="auto" w:line="240" w:before="0" w:after="0"/>
        <w:ind w:firstLine="567"/>
        <w:outlineLvl w:val="1"/>
        <w:rPr>
          <w:rFonts w:ascii="Times New Roman" w:hAnsi="Times New Roman" w:eastAsia="Times New Roman" w:cs="Times New Roman"/>
          <w:b/>
          <w:b/>
          <w:bCs/>
          <w:sz w:val="24"/>
          <w:szCs w:val="24"/>
          <w:lang w:bidi="ru-RU"/>
        </w:rPr>
      </w:pPr>
      <w:bookmarkStart w:id="109" w:name="_Toc437075967"/>
      <w:bookmarkStart w:id="110" w:name="_Toc437076014"/>
      <w:bookmarkStart w:id="111" w:name="bookmark85"/>
      <w:bookmarkStart w:id="112" w:name="bookmark86"/>
      <w:bookmarkStart w:id="113" w:name="bookmark87"/>
      <w:bookmarkStart w:id="114" w:name="_Toc484865799"/>
      <w:bookmarkStart w:id="115" w:name="_Toc485621488"/>
      <w:bookmarkEnd w:id="109"/>
      <w:bookmarkEnd w:id="110"/>
      <w:bookmarkEnd w:id="111"/>
      <w:bookmarkEnd w:id="112"/>
      <w:bookmarkEnd w:id="113"/>
      <w:bookmarkEnd w:id="114"/>
      <w:bookmarkEnd w:id="115"/>
      <w:r>
        <w:rPr>
          <w:rFonts w:eastAsia="Times New Roman" w:cs="Times New Roman" w:ascii="Times New Roman" w:hAnsi="Times New Roman"/>
          <w:b/>
          <w:bCs/>
          <w:sz w:val="24"/>
          <w:szCs w:val="24"/>
          <w:lang w:bidi="ru-RU"/>
        </w:rPr>
        <w:t>ЗОНЫ СПЕЦИАЛЬНОГО НАЗНАЧЕНИЯ</w:t>
      </w:r>
    </w:p>
    <w:p>
      <w:pPr>
        <w:pStyle w:val="Normal"/>
        <w:keepNext/>
        <w:keepLines/>
        <w:widowControl w:val="false"/>
        <w:numPr>
          <w:ilvl w:val="0"/>
          <w:numId w:val="0"/>
        </w:numPr>
        <w:spacing w:lineRule="auto" w:line="240" w:before="0" w:after="0"/>
        <w:ind w:firstLine="567"/>
        <w:outlineLvl w:val="1"/>
        <w:rPr>
          <w:rFonts w:ascii="Times New Roman" w:hAnsi="Times New Roman" w:eastAsia="Times New Roman" w:cs="Times New Roman"/>
          <w:b/>
          <w:b/>
          <w:bCs/>
          <w:i/>
          <w:i/>
          <w:sz w:val="24"/>
          <w:szCs w:val="24"/>
          <w:lang w:bidi="ru-RU"/>
        </w:rPr>
      </w:pPr>
      <w:bookmarkStart w:id="116" w:name="_Toc484865800"/>
      <w:bookmarkStart w:id="117" w:name="_Toc485621489"/>
      <w:bookmarkEnd w:id="116"/>
      <w:bookmarkEnd w:id="117"/>
      <w:r>
        <w:rPr>
          <w:rFonts w:eastAsia="Times New Roman" w:cs="Times New Roman" w:ascii="Times New Roman" w:hAnsi="Times New Roman"/>
          <w:b/>
          <w:bCs/>
          <w:i/>
          <w:sz w:val="24"/>
          <w:szCs w:val="24"/>
          <w:lang w:bidi="ru-RU"/>
        </w:rPr>
        <w:t>Статья 57. СП-1. Зона кладбищ</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bookmarkStart w:id="118" w:name="_Toc452106998"/>
      <w:bookmarkEnd w:id="118"/>
      <w:r>
        <w:rPr>
          <w:rFonts w:eastAsia="Times New Roman" w:cs="Times New Roman" w:ascii="Times New Roman" w:hAnsi="Times New Roman"/>
          <w:sz w:val="24"/>
          <w:szCs w:val="24"/>
          <w:lang w:bidi="ru-RU"/>
        </w:rPr>
        <w:t>Зона кладбищ выделяется с целью размещения закрытых кладбищ, мемориальных парков, аллеи и скверов.</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Виды разрешенного использования земельных участков и объектов капитального строительства.</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7478"/>
        <w:gridCol w:w="1848"/>
      </w:tblGrid>
      <w:tr>
        <w:trPr/>
        <w:tc>
          <w:tcPr>
            <w:tcW w:w="747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Код</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Коммунальное </w:t>
            </w:r>
            <w:r>
              <w:rPr>
                <w:rFonts w:eastAsia="Times New Roman" w:cs="Times New Roman" w:ascii="Times New Roman" w:hAnsi="Times New Roman"/>
                <w:sz w:val="24"/>
                <w:szCs w:val="24"/>
              </w:rPr>
              <w:t>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Бытовое 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3.3</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Религиозное использование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3.7</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 xml:space="preserve">Историко-культурная </w:t>
            </w:r>
            <w:r>
              <w:rPr>
                <w:rFonts w:eastAsia="Times New Roman" w:cs="Times New Roman" w:ascii="Times New Roman" w:hAnsi="Times New Roman"/>
                <w:sz w:val="24"/>
                <w:szCs w:val="24"/>
              </w:rPr>
              <w:t>деятельность</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9.3</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12.0</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Ритуальная деятельность</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12.1</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установлены</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3. Вспомогательные виды разрешенного использования,</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1. Предельные (минимальные и (или) максимальные) размеры земельных участков, в том числе их площадь:</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5098"/>
        <w:gridCol w:w="4228"/>
      </w:tblGrid>
      <w:tr>
        <w:trPr/>
        <w:tc>
          <w:tcPr>
            <w:tcW w:w="509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422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Предельные размеры земельных участков (мин.-макс.),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Коммунальное </w:t>
            </w:r>
            <w:r>
              <w:rPr>
                <w:rFonts w:eastAsia="Times New Roman" w:cs="Times New Roman" w:ascii="Times New Roman" w:hAnsi="Times New Roman"/>
                <w:sz w:val="24"/>
                <w:szCs w:val="24"/>
              </w:rPr>
              <w:t>обслуживание</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Бытовое обслуживание</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Религиозное использование</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 xml:space="preserve">Историко-культурная </w:t>
            </w:r>
            <w:r>
              <w:rPr>
                <w:rFonts w:eastAsia="Times New Roman" w:cs="Times New Roman" w:ascii="Times New Roman" w:hAnsi="Times New Roman"/>
                <w:sz w:val="24"/>
                <w:szCs w:val="24"/>
              </w:rPr>
              <w:t>деятельность</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Ритуальная деятельность</w:t>
            </w:r>
          </w:p>
        </w:tc>
        <w:tc>
          <w:tcPr>
            <w:tcW w:w="4228" w:type="dxa"/>
            <w:tcBorders/>
            <w:shd w:fill="auto" w:val="clear"/>
            <w:tcMar>
              <w:left w:w="73" w:type="dxa"/>
            </w:tcMar>
            <w:vAlign w:val="center"/>
          </w:tcPr>
          <w:p>
            <w:pPr>
              <w:pStyle w:val="Normal"/>
              <w:tabs>
                <w:tab w:val="left" w:pos="4862" w:leader="none"/>
              </w:tabs>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Размер земельного участка для кладбища определяется с учетом количества жителей конкретного городского округа, поселения, но не может превышать 40 га. При этом также учитывается перспективный рост численности населения, коэффициент смертности, наличие действующих объектов похоронного обслуживания, принятая схема и способы захоронения, вероисповедания, норм земельного участка на одно захоронение. </w:t>
            </w:r>
          </w:p>
          <w:p>
            <w:pPr>
              <w:pStyle w:val="Normal"/>
              <w:tabs>
                <w:tab w:val="left" w:pos="4862" w:leader="none"/>
              </w:tabs>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Вновь создаваемые места традиционного и смешанного захоронения необходимо размещать на расстоянии от границ селитебной территории при отводимой площади земельного участка: </w:t>
            </w:r>
          </w:p>
          <w:p>
            <w:pPr>
              <w:pStyle w:val="Normal"/>
              <w:tabs>
                <w:tab w:val="left" w:pos="4862" w:leader="none"/>
              </w:tabs>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от 20 до 40 га - не менее 500 м; </w:t>
            </w:r>
          </w:p>
          <w:p>
            <w:pPr>
              <w:pStyle w:val="Normal"/>
              <w:tabs>
                <w:tab w:val="left" w:pos="4862" w:leader="none"/>
              </w:tabs>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от 10 до 20 га - не менее 300 м; </w:t>
            </w:r>
          </w:p>
          <w:p>
            <w:pPr>
              <w:pStyle w:val="Normal"/>
              <w:tabs>
                <w:tab w:val="left" w:pos="4862" w:leader="none"/>
              </w:tabs>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до 10 га - не менее 100 м; </w:t>
            </w:r>
          </w:p>
          <w:p>
            <w:pPr>
              <w:pStyle w:val="Normal"/>
              <w:tabs>
                <w:tab w:val="left" w:pos="4862" w:leader="none"/>
              </w:tabs>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для кладбища с погребением после кремации, мемориальных комплексов, колумбарии, сельские кладбища - не менее 50 м. </w:t>
            </w:r>
          </w:p>
          <w:p>
            <w:pPr>
              <w:pStyle w:val="Normal"/>
              <w:tabs>
                <w:tab w:val="left" w:pos="4862" w:leader="none"/>
              </w:tabs>
              <w:spacing w:lineRule="auto" w:line="240" w:before="0" w:after="0"/>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 xml:space="preserve">Размещение кладбищ на площади более 40 га запрещается </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установлены</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3. Вспомогательные виды разрешенного использования,</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widowControl w:val="fals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минимальный отступ от границ соседних земельных участков - 1 метр.</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3. Предельное количество этажей или предельная высота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Предельное количество этажей или предельная высота зданий, строений, сооружений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Максимальный процент застройки в границах земельного участка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5. Иные предельные параметры разрешенного строительства, реконструкции объектов капитального строительства.</w:t>
      </w:r>
    </w:p>
    <w:p>
      <w:pPr>
        <w:pStyle w:val="Normal"/>
        <w:suppressAutoHyphens w:val="tru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Площадь мест захоронения должна быть не более 70% общей площади кладбища.</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pPr>
        <w:pStyle w:val="Normal"/>
        <w:suppressAutoHyphens w:val="true"/>
        <w:spacing w:lineRule="auto" w:line="240" w:before="0" w:after="0"/>
        <w:ind w:firstLine="567"/>
        <w:jc w:val="both"/>
        <w:rPr>
          <w:rFonts w:ascii="Times New Roman" w:hAnsi="Times New Roman" w:cs="Times New Roman"/>
          <w:sz w:val="24"/>
          <w:szCs w:val="24"/>
        </w:rPr>
      </w:pPr>
      <w:r>
        <w:rPr>
          <w:rFonts w:eastAsia="Calibri" w:cs="Times New Roman" w:ascii="Times New Roman" w:hAnsi="Times New Roman"/>
          <w:sz w:val="24"/>
          <w:szCs w:val="24"/>
        </w:rPr>
        <w:t>В сельских поселениях расстояние от кладбищ традиционного захоронения до стен жилых домов, зданий детских и лечебных учреждений следует принимать не менее 300 м. (расстояние допускается уменьшать по согласованию с местными органами санитарного надзора, но принимать не менее 100 м).</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Прокладка сетей централизованного хозяйственно-питьевого водоснабжения, используемого для хозяйственно-питьевых целей населением населенных пунктов, по территории санитарно-защитных зон и кладбищ не разрешается.</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Для проведения поливочных и уборочных работ кладбищ и в крематориях необходимо предусматривать систему водоснабжения самостоятельную или с подключением к водопроводам и водоводам технической воды промышленных предприятий, расположенных от них в непосредственной близости.</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Для питьевых и хозяйственных нужд на кладбищах и других объектах похоронного назначения следует предусматривать хозяйственно-питьевое водоснабжение. Качество воды должно отвечать требованиям санитарных правил для питьевой воды.</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При отсутствии централизованных систем водоснабжения и канализации допускается устройство шахтных колодцев для полива и строительство общественных туалетов выгребного типа в соответствии с требованиями санитарных норм и правил.</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Сброс неочищенных сточных вод от кладбищ и крематориев на открытые площадки, кюветы, канавы, траншеи не допускается.</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На участках кладбищ, крематориев, зданий и сооружений похоронного назначения необходимо предусматривать зону зеленых насаждений, стоянки автокатафалков и автотранспорта, урны для сбора мусора, площадки для мусоросборников с подъездами к ним.</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Размещение, расширение и реконструкция кладбищ, зданий и сооружений похоронного назначения осуществляется в соответствии с требованиями Федерального закона от 12 января 1996 года № 8-ФЗ «О погребении и похоронном деле», СанПиН 2.1.2882-11 «Гигиенические требования к размещению, устройству и содержанию кладбищ, зданий и сооружений похоронного назначения», СанПиН 2.2.1/2.1.1.1200-03 (новая редакция).</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При размещении зданий, строений и сооружений должны соблюдаться, установленные законодательством нормы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градостроительные и строительные нормы и правила.</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При переносе кладбищ и захоронений следует проводить рекультивацию территорий и участков. Использование грунтов с ликвидируемых мест захоронений для планировки жилой территории запрещается.</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Использование территории места погребения разрешается по истечении 20 лет с момента его переноса. Территория места погребения в этих случаях может быть использована только под зеленые насаждения. Строительство зданий и сооружений на этой территории запрещается.</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Размер санитарно-защитных зон после переноса кладбищ, а также закрытых кладбищ для новых погребений по истечении кладбищенского периода составляет 50 м.</w:t>
      </w:r>
    </w:p>
    <w:p>
      <w:pPr>
        <w:pStyle w:val="Normal"/>
        <w:keepNext/>
        <w:keepLines/>
        <w:widowControl w:val="false"/>
        <w:numPr>
          <w:ilvl w:val="0"/>
          <w:numId w:val="0"/>
        </w:numPr>
        <w:spacing w:lineRule="auto" w:line="240" w:before="0" w:after="0"/>
        <w:ind w:firstLine="567"/>
        <w:outlineLvl w:val="0"/>
        <w:rPr>
          <w:rFonts w:ascii="Times New Roman" w:hAnsi="Times New Roman" w:eastAsia="Times New Roman" w:cs="Times New Roman"/>
          <w:b/>
          <w:b/>
          <w:bCs/>
          <w:sz w:val="24"/>
          <w:szCs w:val="24"/>
          <w:lang w:bidi="ru-RU"/>
        </w:rPr>
      </w:pPr>
      <w:bookmarkStart w:id="119" w:name="_Toc437075969"/>
      <w:bookmarkStart w:id="120" w:name="_Toc437076016"/>
      <w:bookmarkStart w:id="121" w:name="bookmark88"/>
      <w:bookmarkStart w:id="122" w:name="bookmark89"/>
      <w:bookmarkStart w:id="123" w:name="_Toc484865802"/>
      <w:bookmarkStart w:id="124" w:name="_Toc485621490"/>
      <w:bookmarkStart w:id="125" w:name="_Toc4521069981"/>
      <w:bookmarkEnd w:id="119"/>
      <w:bookmarkEnd w:id="120"/>
      <w:bookmarkEnd w:id="121"/>
      <w:bookmarkEnd w:id="122"/>
      <w:bookmarkEnd w:id="123"/>
      <w:bookmarkEnd w:id="124"/>
      <w:bookmarkEnd w:id="125"/>
      <w:r>
        <w:rPr>
          <w:rFonts w:eastAsia="Times New Roman" w:cs="Times New Roman" w:ascii="Times New Roman" w:hAnsi="Times New Roman"/>
          <w:b/>
          <w:bCs/>
          <w:smallCaps/>
          <w:sz w:val="24"/>
          <w:szCs w:val="24"/>
          <w:lang w:bidi="ru-RU"/>
        </w:rPr>
        <w:t>ЗОНА СЕЛЬСКОХОЗЯЙСТВЕННОГО ИСПОЛЬЗОВАНИЯ</w:t>
      </w:r>
    </w:p>
    <w:p>
      <w:pPr>
        <w:pStyle w:val="Normal"/>
        <w:keepNext/>
        <w:keepLines/>
        <w:widowControl w:val="false"/>
        <w:numPr>
          <w:ilvl w:val="0"/>
          <w:numId w:val="0"/>
        </w:numPr>
        <w:spacing w:lineRule="auto" w:line="240" w:before="0" w:after="0"/>
        <w:outlineLvl w:val="1"/>
        <w:rPr>
          <w:rFonts w:ascii="Times New Roman" w:hAnsi="Times New Roman" w:eastAsia="Times New Roman" w:cs="Times New Roman"/>
          <w:b/>
          <w:b/>
          <w:bCs/>
          <w:i/>
          <w:i/>
          <w:sz w:val="24"/>
          <w:szCs w:val="24"/>
          <w:lang w:bidi="ru-RU"/>
        </w:rPr>
      </w:pPr>
      <w:bookmarkStart w:id="126" w:name="bookmark90"/>
      <w:bookmarkStart w:id="127" w:name="bookmark91"/>
      <w:bookmarkStart w:id="128" w:name="_Toc437075970"/>
      <w:bookmarkStart w:id="129" w:name="_Toc437076017"/>
      <w:bookmarkStart w:id="130" w:name="_Toc484865803"/>
      <w:bookmarkStart w:id="131" w:name="_Toc485621491"/>
      <w:bookmarkEnd w:id="126"/>
      <w:bookmarkEnd w:id="127"/>
      <w:bookmarkEnd w:id="128"/>
      <w:bookmarkEnd w:id="129"/>
      <w:bookmarkEnd w:id="130"/>
      <w:bookmarkEnd w:id="131"/>
      <w:r>
        <w:rPr>
          <w:rFonts w:eastAsia="Times New Roman" w:cs="Times New Roman" w:ascii="Times New Roman" w:hAnsi="Times New Roman"/>
          <w:b/>
          <w:bCs/>
          <w:i/>
          <w:sz w:val="24"/>
          <w:szCs w:val="24"/>
          <w:lang w:bidi="ru-RU"/>
        </w:rPr>
        <w:t>Статья 58. СХ-1. Зона сельскохозяйственного использования</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сельскохозяйственного использования выделяется с целью расположения в границах населенного пункта земельных участков, занятых сенокосами, многолетними насаждениями (садами, огородами, овощными полями, виноградниками, поймами рек и т.д.).</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Виды разрешенного использования земельных участков и объектов капитального строительства.</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7478"/>
        <w:gridCol w:w="1848"/>
      </w:tblGrid>
      <w:tr>
        <w:trPr/>
        <w:tc>
          <w:tcPr>
            <w:tcW w:w="747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Код</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Ведение личного подсобного хозяйства на полевых участках</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1.16</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Коммунальное обслуживание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Энергетика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6.7</w:t>
            </w:r>
          </w:p>
        </w:tc>
      </w:tr>
      <w:tr>
        <w:trPr/>
        <w:tc>
          <w:tcPr>
            <w:tcW w:w="747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Связь</w:t>
            </w:r>
          </w:p>
        </w:tc>
        <w:tc>
          <w:tcPr>
            <w:tcW w:w="1848" w:type="dxa"/>
            <w:tcBorders/>
            <w:shd w:fill="auto" w:val="clear"/>
            <w:tcMar>
              <w:left w:w="73" w:type="dxa"/>
            </w:tcMa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6.8</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Автомобильный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7.2</w:t>
            </w:r>
          </w:p>
        </w:tc>
      </w:tr>
      <w:tr>
        <w:trPr/>
        <w:tc>
          <w:tcPr>
            <w:tcW w:w="747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Трубопроводный транспорт</w:t>
            </w:r>
          </w:p>
        </w:tc>
        <w:tc>
          <w:tcPr>
            <w:tcW w:w="1848" w:type="dxa"/>
            <w:tcBorders/>
            <w:shd w:fill="auto" w:val="clear"/>
            <w:tcMar>
              <w:left w:w="73" w:type="dxa"/>
            </w:tcMa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7.5</w:t>
            </w:r>
          </w:p>
        </w:tc>
      </w:tr>
      <w:tr>
        <w:trPr/>
        <w:tc>
          <w:tcPr>
            <w:tcW w:w="747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Водные объекты</w:t>
            </w:r>
          </w:p>
        </w:tc>
        <w:tc>
          <w:tcPr>
            <w:tcW w:w="1848" w:type="dxa"/>
            <w:tcBorders/>
            <w:shd w:fill="auto" w:val="clear"/>
            <w:tcMar>
              <w:left w:w="73" w:type="dxa"/>
            </w:tcMa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11.0</w:t>
            </w:r>
          </w:p>
        </w:tc>
      </w:tr>
      <w:tr>
        <w:trPr/>
        <w:tc>
          <w:tcPr>
            <w:tcW w:w="747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Общее пользование водными объектами</w:t>
            </w:r>
          </w:p>
        </w:tc>
        <w:tc>
          <w:tcPr>
            <w:tcW w:w="1848" w:type="dxa"/>
            <w:tcBorders/>
            <w:shd w:fill="auto" w:val="clear"/>
            <w:tcMar>
              <w:left w:w="73" w:type="dxa"/>
            </w:tcMa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11.1</w:t>
            </w:r>
          </w:p>
        </w:tc>
      </w:tr>
      <w:tr>
        <w:trPr/>
        <w:tc>
          <w:tcPr>
            <w:tcW w:w="747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Специальное пользование водными объектами</w:t>
            </w:r>
          </w:p>
        </w:tc>
        <w:tc>
          <w:tcPr>
            <w:tcW w:w="1848" w:type="dxa"/>
            <w:tcBorders/>
            <w:shd w:fill="auto" w:val="clear"/>
            <w:tcMar>
              <w:left w:w="73" w:type="dxa"/>
            </w:tcMa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11.2</w:t>
            </w:r>
          </w:p>
        </w:tc>
      </w:tr>
      <w:tr>
        <w:trPr/>
        <w:tc>
          <w:tcPr>
            <w:tcW w:w="747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Гидротехнические сооружения</w:t>
            </w:r>
          </w:p>
        </w:tc>
        <w:tc>
          <w:tcPr>
            <w:tcW w:w="1848" w:type="dxa"/>
            <w:tcBorders/>
            <w:shd w:fill="auto" w:val="clear"/>
            <w:tcMar>
              <w:left w:w="73" w:type="dxa"/>
            </w:tcMa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11.3</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12.0</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Ведение огородничества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13.1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imes New Roman" w:cs="Times New Roman" w:ascii="Times New Roman" w:hAnsi="Times New Roman"/>
                <w:sz w:val="24"/>
                <w:szCs w:val="24"/>
                <w:lang w:bidi="ru-RU"/>
              </w:rPr>
              <w:t>Ведение садоводства</w:t>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13.2</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cs="Times New Roman"/>
                <w:sz w:val="24"/>
                <w:szCs w:val="24"/>
              </w:rPr>
            </w:pPr>
            <w:r>
              <w:rPr>
                <w:rFonts w:cs="Times New Roman" w:ascii="Times New Roman" w:hAnsi="Times New Roman"/>
                <w:sz w:val="24"/>
                <w:szCs w:val="24"/>
              </w:rPr>
              <w:t>Ведение дачного хозяйства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13.3</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Склады</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6.9</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3.9.1</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3. Вспомогательные виды разрешенного использования,</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ListParagraph"/>
        <w:numPr>
          <w:ilvl w:val="0"/>
          <w:numId w:val="2"/>
        </w:numPr>
        <w:spacing w:lineRule="auto" w:line="240" w:before="0" w:after="0"/>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в том числе их площадь:</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5098"/>
        <w:gridCol w:w="4228"/>
      </w:tblGrid>
      <w:tr>
        <w:trPr/>
        <w:tc>
          <w:tcPr>
            <w:tcW w:w="509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422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Предельные размеры земельных участков (мин.-макс.),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Ведение личного подсобного хозяйства на полевых участках</w:t>
            </w:r>
          </w:p>
        </w:tc>
        <w:tc>
          <w:tcPr>
            <w:tcW w:w="4228" w:type="dxa"/>
            <w:tcBorders/>
            <w:shd w:fill="auto" w:val="clear"/>
            <w:tcMar>
              <w:left w:w="73" w:type="dxa"/>
            </w:tcMar>
            <w:vAlign w:val="center"/>
          </w:tcPr>
          <w:p>
            <w:pPr>
              <w:pStyle w:val="Normal"/>
              <w:spacing w:lineRule="auto" w:line="240" w:before="0" w:after="0"/>
              <w:rPr/>
            </w:pPr>
            <w:r>
              <w:rPr>
                <w:rFonts w:eastAsia="Times New Roman" w:cs="Times New Roman" w:ascii="Times New Roman" w:hAnsi="Times New Roman"/>
                <w:sz w:val="24"/>
                <w:szCs w:val="24"/>
                <w:lang w:bidi="ru-RU"/>
              </w:rPr>
              <w:t>1000-3000 кв. м.</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Коммунальное обслуживание</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Энергетика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Связь</w:t>
            </w:r>
          </w:p>
        </w:tc>
        <w:tc>
          <w:tcPr>
            <w:tcW w:w="4228" w:type="dxa"/>
            <w:tcBorders/>
            <w:shd w:fill="auto" w:val="clear"/>
            <w:tcMar>
              <w:left w:w="73" w:type="dxa"/>
            </w:tcMa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Автомобильный транспорт</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Трубопроводный транспорт</w:t>
            </w:r>
          </w:p>
        </w:tc>
        <w:tc>
          <w:tcPr>
            <w:tcW w:w="4228" w:type="dxa"/>
            <w:tcBorders/>
            <w:shd w:fill="auto" w:val="clear"/>
            <w:tcMar>
              <w:left w:w="73" w:type="dxa"/>
            </w:tcMa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Водные объекты</w:t>
            </w:r>
          </w:p>
        </w:tc>
        <w:tc>
          <w:tcPr>
            <w:tcW w:w="4228" w:type="dxa"/>
            <w:tcBorders/>
            <w:shd w:fill="auto" w:val="clear"/>
            <w:tcMar>
              <w:left w:w="73" w:type="dxa"/>
            </w:tcMa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Общее пользование водными объектами</w:t>
            </w:r>
          </w:p>
        </w:tc>
        <w:tc>
          <w:tcPr>
            <w:tcW w:w="4228" w:type="dxa"/>
            <w:tcBorders/>
            <w:shd w:fill="auto" w:val="clear"/>
            <w:tcMar>
              <w:left w:w="73" w:type="dxa"/>
            </w:tcMa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imes New Roman" w:cs="Times New Roman" w:ascii="Times New Roman" w:hAnsi="Times New Roman"/>
                <w:sz w:val="24"/>
                <w:szCs w:val="24"/>
              </w:rPr>
              <w:t>Специальное пользование водными объектами</w:t>
            </w:r>
          </w:p>
        </w:tc>
        <w:tc>
          <w:tcPr>
            <w:tcW w:w="4228" w:type="dxa"/>
            <w:tcBorders/>
            <w:shd w:fill="auto" w:val="clear"/>
            <w:tcMar>
              <w:left w:w="73" w:type="dxa"/>
            </w:tcMa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Гидротехнические сооружения</w:t>
            </w:r>
          </w:p>
        </w:tc>
        <w:tc>
          <w:tcPr>
            <w:tcW w:w="4228" w:type="dxa"/>
            <w:tcBorders/>
            <w:shd w:fill="auto" w:val="clear"/>
            <w:tcMar>
              <w:left w:w="73" w:type="dxa"/>
            </w:tcMa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Ведение огородничества</w:t>
            </w:r>
          </w:p>
        </w:tc>
        <w:tc>
          <w:tcPr>
            <w:tcW w:w="4228" w:type="dxa"/>
            <w:tcBorders/>
            <w:shd w:fill="auto" w:val="clear"/>
            <w:tcMar>
              <w:left w:w="73" w:type="dxa"/>
            </w:tcMar>
          </w:tcPr>
          <w:p>
            <w:pPr>
              <w:pStyle w:val="Normal"/>
              <w:spacing w:lineRule="auto" w:line="240" w:before="0" w:after="0"/>
              <w:rPr/>
            </w:pPr>
            <w:r>
              <w:rPr>
                <w:rFonts w:ascii="Times New Roman" w:hAnsi="Times New Roman"/>
                <w:sz w:val="24"/>
              </w:rPr>
              <w:t>400-1500 кв.м</w:t>
            </w:r>
          </w:p>
        </w:tc>
      </w:tr>
      <w:tr>
        <w:trPr/>
        <w:tc>
          <w:tcPr>
            <w:tcW w:w="5098" w:type="dxa"/>
            <w:tcBorders/>
            <w:shd w:fill="auto" w:val="clear"/>
            <w:tcMar>
              <w:left w:w="73" w:type="dxa"/>
            </w:tcMa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Ведение садоводства</w:t>
            </w:r>
          </w:p>
        </w:tc>
        <w:tc>
          <w:tcPr>
            <w:tcW w:w="4228" w:type="dxa"/>
            <w:tcBorders/>
            <w:shd w:fill="auto" w:val="clear"/>
            <w:tcMar>
              <w:left w:w="73" w:type="dxa"/>
            </w:tcMar>
          </w:tcPr>
          <w:p>
            <w:pPr>
              <w:pStyle w:val="Normal"/>
              <w:spacing w:lineRule="auto" w:line="240" w:before="0" w:after="0"/>
              <w:rPr>
                <w:rFonts w:ascii="Times New Roman" w:hAnsi="Times New Roman" w:eastAsia="Times New Roman" w:cs="Times New Roman"/>
                <w:sz w:val="24"/>
                <w:szCs w:val="24"/>
                <w:lang w:bidi="ru-RU"/>
              </w:rPr>
            </w:pPr>
            <w:r>
              <w:rPr>
                <w:rFonts w:ascii="Times New Roman" w:hAnsi="Times New Roman"/>
                <w:sz w:val="24"/>
              </w:rPr>
              <w:t>600-1500 кв.м</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cs="Times New Roman"/>
                <w:sz w:val="24"/>
                <w:szCs w:val="24"/>
              </w:rPr>
            </w:pPr>
            <w:r>
              <w:rPr>
                <w:rFonts w:cs="Times New Roman" w:ascii="Times New Roman" w:hAnsi="Times New Roman"/>
                <w:sz w:val="24"/>
                <w:szCs w:val="24"/>
              </w:rPr>
              <w:t>Ведение дачного хозяйства</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600-1500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Склады</w:t>
            </w:r>
          </w:p>
        </w:tc>
        <w:tc>
          <w:tcPr>
            <w:tcW w:w="4228" w:type="dxa"/>
            <w:tcBorders/>
            <w:shd w:fill="auto" w:val="clear"/>
            <w:tcMar>
              <w:left w:w="73" w:type="dxa"/>
            </w:tcMar>
            <w:vAlign w:val="center"/>
          </w:tcPr>
          <w:p>
            <w:pPr>
              <w:pStyle w:val="Normal"/>
              <w:widowControl w:val="false"/>
              <w:spacing w:lineRule="auto" w:line="240" w:before="0" w:after="0"/>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Максимальная площадь земельного участка 600 кв.м</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4228" w:type="dxa"/>
            <w:tcBorders/>
            <w:shd w:fill="auto" w:val="clear"/>
            <w:tcMar>
              <w:left w:w="73" w:type="dxa"/>
            </w:tcMar>
            <w:vAlign w:val="center"/>
          </w:tcPr>
          <w:p>
            <w:pPr>
              <w:pStyle w:val="Normal"/>
              <w:widowControl w:val="false"/>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3. Вспомогательные виды разрешенного использования,</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widowControl w:val="fals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минимальный отступ от границ соседних земельных участков - 1 метр.</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3. Предельное количество этажей или предельная высота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Предельное количество этажей или предельная высота зданий, строений, сооружений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Максимальный процент застройки в границах земельного участка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5. Иные предельные параметры разрешенного строительства, реконструкции объектов капитального строительства.</w:t>
      </w:r>
    </w:p>
    <w:p>
      <w:pPr>
        <w:pStyle w:val="Normal"/>
        <w:widowControl w:val="false"/>
        <w:suppressAutoHyphens w:val="tru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Предельные (минимальные и максимальные) размеры земельных участков, предоставляемых гражданам в собственность из земель, находящихся в государственной или муниципальной собственности, для ведения животноводства - от 0,3 гектара до 1 гектара.</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Максимальный класс опасности объектов капитального строительства, размещаемых на территории земельных участков - V (по классификации СанПиН 2.2.1/2.1.1.1200-03) при обеспечении определенного проектом размера санитарно-защитной зоны</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Условия размещения и максимальные и (или) минимальные размеры (площадь) отдельных объектов:</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Теплицы и парники размещаются на земельных участках с наивысшим уровнем грунтовых вод не менее 1,5 м от поверхности земли.</w:t>
      </w:r>
    </w:p>
    <w:p>
      <w:pPr>
        <w:pStyle w:val="Normal"/>
        <w:spacing w:lineRule="auto" w:line="240" w:before="0" w:after="0"/>
        <w:ind w:firstLine="567"/>
        <w:jc w:val="both"/>
        <w:rPr>
          <w:rFonts w:ascii="Times New Roman" w:hAnsi="Times New Roman" w:eastAsia="Tahoma" w:cs="Times New Roman"/>
          <w:sz w:val="24"/>
          <w:szCs w:val="24"/>
        </w:rPr>
      </w:pPr>
      <w:r>
        <w:rPr>
          <w:rFonts w:eastAsia="Tahoma" w:cs="Times New Roman" w:ascii="Times New Roman" w:hAnsi="Times New Roman"/>
          <w:sz w:val="24"/>
          <w:szCs w:val="24"/>
        </w:rPr>
        <w:t>Склады и хранилища сельскохозяйственной продукции размещаются на хорошо проветриваемых земельных участках с наивысшим уровнем грунтовых вод не менее 1,5 м от поверхности земли.</w:t>
      </w:r>
    </w:p>
    <w:p>
      <w:pPr>
        <w:pStyle w:val="Normal"/>
        <w:keepNext/>
        <w:keepLines/>
        <w:widowControl w:val="false"/>
        <w:numPr>
          <w:ilvl w:val="0"/>
          <w:numId w:val="0"/>
        </w:numPr>
        <w:spacing w:lineRule="auto" w:line="240" w:before="0" w:after="0"/>
        <w:outlineLvl w:val="1"/>
        <w:rPr>
          <w:rFonts w:ascii="Times New Roman" w:hAnsi="Times New Roman" w:eastAsia="Times New Roman" w:cs="Times New Roman"/>
          <w:b/>
          <w:b/>
          <w:bCs/>
          <w:i/>
          <w:i/>
          <w:sz w:val="24"/>
          <w:szCs w:val="24"/>
          <w:lang w:bidi="ru-RU"/>
        </w:rPr>
      </w:pPr>
      <w:bookmarkStart w:id="132" w:name="_Toc484865804"/>
      <w:bookmarkStart w:id="133" w:name="_Toc485621492"/>
      <w:r>
        <w:rPr>
          <w:rFonts w:eastAsia="Times New Roman" w:cs="Times New Roman" w:ascii="Times New Roman" w:hAnsi="Times New Roman"/>
          <w:b/>
          <w:bCs/>
          <w:i/>
          <w:sz w:val="24"/>
          <w:szCs w:val="24"/>
          <w:lang w:bidi="ru-RU"/>
        </w:rPr>
        <w:t xml:space="preserve">Статья 59. СХ-2. </w:t>
      </w:r>
      <w:bookmarkEnd w:id="132"/>
      <w:bookmarkEnd w:id="133"/>
      <w:r>
        <w:rPr>
          <w:rFonts w:eastAsia="Times New Roman" w:cs="Times New Roman" w:ascii="Times New Roman" w:hAnsi="Times New Roman"/>
          <w:b/>
          <w:i/>
          <w:sz w:val="24"/>
          <w:szCs w:val="24"/>
          <w:lang w:bidi="ru-RU"/>
        </w:rPr>
        <w:t>Зона производственных и складских объектов сельскохозяйственного назначения</w:t>
      </w:r>
    </w:p>
    <w:p>
      <w:pPr>
        <w:pStyle w:val="Normal"/>
        <w:widowControl w:val="false"/>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Зона производственных и складских объектов сельскохозяйственного назначения выделяется с целью размещения объектов сельскохозяйственного назначения - зданий, строений, сооружений, используемых для производства, хранения и первичной обработки сельскохозяйственной продукции, - входят также земли, занятые внутрихозяйственными дорогами, коммуникациями, древесно-кустарниковой растительностью, предназначенной для обеспечения защиты земель от воздействия негативных природных, антропогенных и техногенных воздействий, замкнутыми водоемами, и резервные земли для развития объектов сельскохозяйственного назначения.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Виды разрешенного использования земельных участков и объектов капитального строительства.</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7478"/>
        <w:gridCol w:w="1848"/>
      </w:tblGrid>
      <w:tr>
        <w:trPr/>
        <w:tc>
          <w:tcPr>
            <w:tcW w:w="747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Код</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Растениеводство</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Выращивание зерновых и иных сельскохозяйственных культур</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1.2</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Овощеводство</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1.3</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Выращивание тонизирующих, лекарственных, цветочных культур</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1.4</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Садоводство</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1.5</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Выращивание льна и конопли</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1.6</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Животноводство</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1.7</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Скотоводство</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1.8</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Звероводство</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1.9</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Птицеводство</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1.10</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Свиноводство</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1.11</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Пчеловодство</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1.12</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Рыбоводство</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1.13</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Научное обеспечение сельского хозяйства</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1.14</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Хранение и переработка сельскохозяйственной продукции</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1.15</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Ведение личного подсобного хозяйства на полевых участках</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1.16</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Питомники</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1.17</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Обеспечение сельскохозяйственного </w:t>
            </w:r>
            <w:r>
              <w:rPr>
                <w:rFonts w:eastAsia="Times New Roman" w:cs="Times New Roman" w:ascii="Times New Roman" w:hAnsi="Times New Roman"/>
                <w:sz w:val="24"/>
                <w:szCs w:val="24"/>
                <w:lang w:bidi="ru-RU"/>
              </w:rPr>
              <w:t>производства</w:t>
            </w:r>
          </w:p>
        </w:tc>
        <w:tc>
          <w:tcPr>
            <w:tcW w:w="1848" w:type="dxa"/>
            <w:tcBorders/>
            <w:shd w:fill="auto" w:val="clear"/>
            <w:tcMar>
              <w:left w:w="73" w:type="dxa"/>
            </w:tcMar>
            <w:vAlign w:val="center"/>
          </w:tcPr>
          <w:p>
            <w:pPr>
              <w:pStyle w:val="Normal"/>
              <w:spacing w:lineRule="auto" w:line="240" w:before="0" w:after="0"/>
              <w:ind w:firstLine="567"/>
              <w:jc w:val="center"/>
              <w:rPr>
                <w:rFonts w:ascii="Times New Roman" w:hAnsi="Times New Roman" w:eastAsia="Times New Roman" w:cs="Times New Roman"/>
                <w:sz w:val="24"/>
                <w:szCs w:val="24"/>
                <w:lang w:bidi="ru-RU"/>
              </w:rPr>
            </w:pPr>
            <w:r>
              <w:rPr>
                <w:rFonts w:eastAsia="Tahoma" w:cs="Times New Roman" w:ascii="Times New Roman" w:hAnsi="Times New Roman"/>
                <w:sz w:val="24"/>
                <w:szCs w:val="24"/>
              </w:rPr>
              <w:t>1.18</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3.9.1</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Ветеринарное облуживание</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3.10</w:t>
            </w:r>
          </w:p>
        </w:tc>
      </w:tr>
      <w:tr>
        <w:trPr/>
        <w:tc>
          <w:tcPr>
            <w:tcW w:w="747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Связь</w:t>
            </w:r>
          </w:p>
        </w:tc>
        <w:tc>
          <w:tcPr>
            <w:tcW w:w="1848" w:type="dxa"/>
            <w:tcBorders/>
            <w:shd w:fill="auto" w:val="clear"/>
            <w:tcMar>
              <w:left w:w="73" w:type="dxa"/>
            </w:tcMa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6.8</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Склады</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6.9</w:t>
            </w:r>
          </w:p>
        </w:tc>
      </w:tr>
      <w:tr>
        <w:trPr/>
        <w:tc>
          <w:tcPr>
            <w:tcW w:w="747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eastAsia="Times New Roman" w:cs="Times New Roman" w:ascii="Times New Roman" w:hAnsi="Times New Roman"/>
                <w:sz w:val="24"/>
                <w:szCs w:val="24"/>
              </w:rPr>
              <w:t>Автомобильный транспорт</w:t>
            </w:r>
          </w:p>
        </w:tc>
        <w:tc>
          <w:tcPr>
            <w:tcW w:w="184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7.2</w:t>
            </w:r>
          </w:p>
        </w:tc>
      </w:tr>
      <w:tr>
        <w:trPr/>
        <w:tc>
          <w:tcPr>
            <w:tcW w:w="747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Трубопроводный транспорт</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7.5</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12.0</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747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Магазины</w:t>
            </w:r>
          </w:p>
        </w:tc>
        <w:tc>
          <w:tcPr>
            <w:tcW w:w="1848" w:type="dxa"/>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4.4</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1. Предельные (минимальные и (или) максимальные) размеры земельных участков, в том числе их площадь:</w:t>
      </w:r>
    </w:p>
    <w:tbl>
      <w:tblPr>
        <w:tblStyle w:val="af2"/>
        <w:tblW w:w="9327" w:type="dxa"/>
        <w:jc w:val="left"/>
        <w:tblInd w:w="-35" w:type="dxa"/>
        <w:tblCellMar>
          <w:top w:w="0" w:type="dxa"/>
          <w:left w:w="73" w:type="dxa"/>
          <w:bottom w:w="0" w:type="dxa"/>
          <w:right w:w="108" w:type="dxa"/>
        </w:tblCellMar>
        <w:tblLook w:firstRow="1" w:noVBand="1" w:lastRow="0" w:firstColumn="1" w:lastColumn="0" w:noHBand="0" w:val="04a0"/>
      </w:tblPr>
      <w:tblGrid>
        <w:gridCol w:w="5098"/>
        <w:gridCol w:w="4228"/>
      </w:tblGrid>
      <w:tr>
        <w:trPr/>
        <w:tc>
          <w:tcPr>
            <w:tcW w:w="5098" w:type="dxa"/>
            <w:tcBorders/>
            <w:shd w:fill="auto" w:val="clear"/>
            <w:tcMar>
              <w:left w:w="73" w:type="dxa"/>
            </w:tcMar>
          </w:tcPr>
          <w:p>
            <w:pPr>
              <w:pStyle w:val="Normal"/>
              <w:suppressAutoHyphens w:val="true"/>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Виды разрешенного использования</w:t>
            </w:r>
          </w:p>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r>
          </w:p>
        </w:tc>
        <w:tc>
          <w:tcPr>
            <w:tcW w:w="4228" w:type="dxa"/>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Предельные размеры земельных участков (мин.-макс.), кв.м</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1. Основные виды разрешенного использования</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Растениеводство</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Выращивание зерновых и иных сельскохозяйственных культур</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Овощеводство</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Выращивание тонизирующих, лекарственных, цветочных культур</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Садоводство</w:t>
            </w:r>
          </w:p>
        </w:tc>
        <w:tc>
          <w:tcPr>
            <w:tcW w:w="4228" w:type="dxa"/>
            <w:tcBorders/>
            <w:shd w:fill="auto" w:val="clear"/>
            <w:tcMar>
              <w:left w:w="73" w:type="dxa"/>
            </w:tcMar>
          </w:tcPr>
          <w:p>
            <w:pPr>
              <w:pStyle w:val="Normal"/>
              <w:spacing w:lineRule="auto" w:line="240" w:before="0" w:after="0"/>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Выращивание льна и конопли</w:t>
            </w:r>
          </w:p>
        </w:tc>
        <w:tc>
          <w:tcPr>
            <w:tcW w:w="4228" w:type="dxa"/>
            <w:tcBorders/>
            <w:shd w:fill="auto" w:val="clear"/>
            <w:tcMar>
              <w:left w:w="73" w:type="dxa"/>
            </w:tcMar>
          </w:tcPr>
          <w:p>
            <w:pPr>
              <w:pStyle w:val="Normal"/>
              <w:spacing w:lineRule="auto" w:line="240" w:before="0" w:after="0"/>
              <w:rPr>
                <w:sz w:val="24"/>
                <w:szCs w:val="24"/>
              </w:rPr>
            </w:pPr>
            <w:bookmarkStart w:id="134" w:name="__DdeLink__5588_787671205"/>
            <w:bookmarkEnd w:id="134"/>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Животноводство</w:t>
            </w:r>
          </w:p>
        </w:tc>
        <w:tc>
          <w:tcPr>
            <w:tcW w:w="4228" w:type="dxa"/>
            <w:tcBorders/>
            <w:shd w:fill="auto" w:val="clear"/>
            <w:tcMar>
              <w:left w:w="73" w:type="dxa"/>
            </w:tcMar>
          </w:tcPr>
          <w:p>
            <w:pPr>
              <w:pStyle w:val="Normal"/>
              <w:spacing w:lineRule="auto" w:line="240" w:before="0" w:after="0"/>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Скотоводство</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Звероводство</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Птицеводство</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Свиноводство</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Пчеловодство</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Рыбоводство</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Научное обеспечение сельского хозяйства</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Хранение и переработка сельскохозяйственной продукции</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Ведение личного подсобного хозяйства на полевых участках</w:t>
            </w:r>
          </w:p>
        </w:tc>
        <w:tc>
          <w:tcPr>
            <w:tcW w:w="4228" w:type="dxa"/>
            <w:tcBorders/>
            <w:shd w:fill="auto" w:val="clear"/>
            <w:tcMar>
              <w:left w:w="73" w:type="dxa"/>
            </w:tcMar>
          </w:tcPr>
          <w:p>
            <w:pPr>
              <w:pStyle w:val="Normal"/>
              <w:spacing w:lineRule="auto" w:line="240" w:before="0" w:after="0"/>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Питомники</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eastAsia="Tahoma" w:cs="Times New Roman" w:ascii="Times New Roman" w:hAnsi="Times New Roman"/>
                <w:sz w:val="24"/>
                <w:szCs w:val="24"/>
              </w:rPr>
              <w:t xml:space="preserve">Обеспечение сельскохозяйственного </w:t>
            </w:r>
            <w:r>
              <w:rPr>
                <w:rFonts w:eastAsia="Times New Roman" w:cs="Times New Roman" w:ascii="Times New Roman" w:hAnsi="Times New Roman"/>
                <w:sz w:val="24"/>
                <w:szCs w:val="24"/>
                <w:lang w:bidi="ru-RU"/>
              </w:rPr>
              <w:t>производства</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imes New Roman" w:cs="Times New Roman"/>
                <w:sz w:val="24"/>
                <w:szCs w:val="24"/>
                <w:lang w:bidi="ru-RU"/>
              </w:rPr>
            </w:pPr>
            <w:r>
              <w:rPr>
                <w:rFonts w:cs="Times New Roman" w:ascii="Times New Roman" w:hAnsi="Times New Roman"/>
                <w:sz w:val="24"/>
                <w:szCs w:val="24"/>
              </w:rPr>
              <w:t>Обеспечение деятельности в области гидрометеорологии и смежных с ней областях</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Ветеринарное облуживание</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Связь</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Склады</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tcPr>
          <w:p>
            <w:pPr>
              <w:pStyle w:val="Normal"/>
              <w:spacing w:lineRule="auto" w:line="240" w:before="0" w:after="0"/>
              <w:ind w:firstLine="567"/>
              <w:rPr>
                <w:rFonts w:ascii="Times New Roman" w:hAnsi="Times New Roman" w:cs="Times New Roman"/>
                <w:sz w:val="24"/>
                <w:szCs w:val="24"/>
              </w:rPr>
            </w:pPr>
            <w:r>
              <w:rPr>
                <w:rFonts w:eastAsia="Times New Roman" w:cs="Times New Roman" w:ascii="Times New Roman" w:hAnsi="Times New Roman"/>
                <w:sz w:val="24"/>
                <w:szCs w:val="24"/>
              </w:rPr>
              <w:t>Автомобильный транспорт</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rPr>
              <w:t>Трубопроводный транспорт</w:t>
            </w:r>
          </w:p>
        </w:tc>
        <w:tc>
          <w:tcPr>
            <w:tcW w:w="4228" w:type="dxa"/>
            <w:tcBorders/>
            <w:shd w:fill="auto" w:val="clear"/>
            <w:tcMar>
              <w:left w:w="73" w:type="dxa"/>
            </w:tcMar>
          </w:tcPr>
          <w:p>
            <w:pPr>
              <w:pStyle w:val="Normal"/>
              <w:spacing w:lineRule="auto" w:line="240" w:before="0" w:after="0"/>
              <w:rPr>
                <w:sz w:val="24"/>
                <w:szCs w:val="24"/>
              </w:rPr>
            </w:pPr>
            <w:r>
              <w:rPr>
                <w:rFonts w:eastAsia="Times New Roman" w:cs="Times New Roman" w:ascii="Times New Roman" w:hAnsi="Times New Roman"/>
                <w:sz w:val="24"/>
                <w:szCs w:val="24"/>
                <w:lang w:bidi="ru-RU"/>
              </w:rPr>
              <w:t>не подлежат ограничению</w:t>
            </w:r>
          </w:p>
        </w:tc>
      </w:tr>
      <w:tr>
        <w:trPr/>
        <w:tc>
          <w:tcPr>
            <w:tcW w:w="5098" w:type="dxa"/>
            <w:tcBorders/>
            <w:shd w:fill="auto" w:val="clear"/>
            <w:tcMar>
              <w:left w:w="73" w:type="dxa"/>
            </w:tcMar>
            <w:vAlign w:val="center"/>
          </w:tcPr>
          <w:p>
            <w:pPr>
              <w:pStyle w:val="Normal"/>
              <w:widowControl w:val="false"/>
              <w:spacing w:lineRule="auto" w:line="240" w:before="0" w:after="0"/>
              <w:ind w:firstLine="567"/>
              <w:rPr>
                <w:rFonts w:ascii="Times New Roman" w:hAnsi="Times New Roman" w:eastAsia="Times New Roman" w:cs="Times New Roman"/>
                <w:sz w:val="24"/>
                <w:szCs w:val="24"/>
              </w:rPr>
            </w:pPr>
            <w:r>
              <w:rPr>
                <w:rFonts w:eastAsia="Tahoma" w:cs="Times New Roman" w:ascii="Times New Roman" w:hAnsi="Times New Roman"/>
                <w:sz w:val="24"/>
                <w:szCs w:val="24"/>
              </w:rPr>
              <w:t xml:space="preserve">Земельные участки(территории) общего </w:t>
            </w:r>
            <w:r>
              <w:rPr>
                <w:rFonts w:eastAsia="Times New Roman" w:cs="Times New Roman" w:ascii="Times New Roman" w:hAnsi="Times New Roman"/>
                <w:sz w:val="24"/>
                <w:szCs w:val="24"/>
              </w:rPr>
              <w:t>пользования</w:t>
            </w:r>
          </w:p>
        </w:tc>
        <w:tc>
          <w:tcPr>
            <w:tcW w:w="4228" w:type="dxa"/>
            <w:tcBorders/>
            <w:shd w:fill="auto" w:val="clear"/>
            <w:tcMar>
              <w:left w:w="73" w:type="dxa"/>
            </w:tcMar>
          </w:tcPr>
          <w:p>
            <w:pPr>
              <w:pStyle w:val="Normal"/>
              <w:spacing w:lineRule="auto" w:line="240" w:before="0" w:after="0"/>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подлежат ограничению</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b/>
                <w:sz w:val="24"/>
                <w:szCs w:val="24"/>
              </w:rPr>
              <w:t>2. Условно разрешенные виды использования:</w:t>
            </w:r>
          </w:p>
        </w:tc>
      </w:tr>
      <w:tr>
        <w:trPr/>
        <w:tc>
          <w:tcPr>
            <w:tcW w:w="5098" w:type="dxa"/>
            <w:tcBorders/>
            <w:shd w:fill="auto" w:val="clear"/>
            <w:tcMar>
              <w:left w:w="73" w:type="dxa"/>
            </w:tcMar>
            <w:vAlign w:val="center"/>
          </w:tcPr>
          <w:p>
            <w:pPr>
              <w:pStyle w:val="Normal"/>
              <w:spacing w:lineRule="auto" w:line="240" w:before="0" w:after="0"/>
              <w:ind w:firstLine="567"/>
              <w:rPr>
                <w:rFonts w:ascii="Times New Roman" w:hAnsi="Times New Roman" w:eastAsia="Tahoma" w:cs="Times New Roman"/>
                <w:sz w:val="24"/>
                <w:szCs w:val="24"/>
              </w:rPr>
            </w:pPr>
            <w:r>
              <w:rPr>
                <w:rFonts w:eastAsia="Tahoma" w:cs="Times New Roman" w:ascii="Times New Roman" w:hAnsi="Times New Roman"/>
                <w:sz w:val="24"/>
                <w:szCs w:val="24"/>
              </w:rPr>
              <w:t>Магазины</w:t>
            </w:r>
          </w:p>
        </w:tc>
        <w:tc>
          <w:tcPr>
            <w:tcW w:w="4228" w:type="dxa"/>
            <w:tcBorders/>
            <w:shd w:fill="auto" w:val="clear"/>
            <w:tcMar>
              <w:left w:w="73" w:type="dxa"/>
            </w:tcMar>
            <w:vAlign w:val="center"/>
          </w:tcPr>
          <w:p>
            <w:pPr>
              <w:pStyle w:val="Normal"/>
              <w:widowControl w:val="false"/>
              <w:spacing w:lineRule="auto" w:line="240" w:before="0" w:after="0"/>
              <w:jc w:val="both"/>
              <w:rPr>
                <w:rFonts w:ascii="Times New Roman" w:hAnsi="Times New Roman" w:eastAsia="Times New Roman" w:cs="Times New Roman"/>
                <w:sz w:val="24"/>
                <w:szCs w:val="24"/>
              </w:rPr>
            </w:pPr>
            <w:r>
              <w:rPr>
                <w:rFonts w:cs="Times New Roman" w:ascii="Times New Roman" w:hAnsi="Times New Roman"/>
                <w:sz w:val="24"/>
                <w:szCs w:val="24"/>
              </w:rPr>
              <w:t>Максимальная площадь земельного участка 1600 кв.м, из расчета 800 кв.м участка на 100 кв. м торговой площади</w:t>
            </w:r>
          </w:p>
        </w:tc>
      </w:tr>
      <w:tr>
        <w:trPr/>
        <w:tc>
          <w:tcPr>
            <w:tcW w:w="9326" w:type="dxa"/>
            <w:gridSpan w:val="2"/>
            <w:tcBorders/>
            <w:shd w:fill="auto" w:val="clear"/>
            <w:tcMar>
              <w:left w:w="73" w:type="dxa"/>
            </w:tcMar>
          </w:tcPr>
          <w:p>
            <w:pPr>
              <w:pStyle w:val="Normal"/>
              <w:spacing w:lineRule="auto" w:line="240" w:before="0" w:after="0"/>
              <w:ind w:firstLine="567"/>
              <w:jc w:val="center"/>
              <w:rPr>
                <w:rFonts w:ascii="Times New Roman" w:hAnsi="Times New Roman" w:cs="Times New Roman"/>
                <w:b/>
                <w:b/>
                <w:sz w:val="24"/>
                <w:szCs w:val="24"/>
              </w:rPr>
            </w:pPr>
            <w:r>
              <w:rPr>
                <w:rFonts w:cs="Times New Roman" w:ascii="Times New Roman" w:hAnsi="Times New Roman"/>
                <w:b/>
                <w:sz w:val="24"/>
                <w:szCs w:val="24"/>
              </w:rPr>
              <w:t xml:space="preserve">3. Вспомогательные виды разрешенного использования, </w:t>
            </w:r>
          </w:p>
          <w:p>
            <w:pPr>
              <w:pStyle w:val="Normal"/>
              <w:spacing w:lineRule="auto" w:line="240" w:before="0" w:after="0"/>
              <w:ind w:firstLine="567"/>
              <w:jc w:val="center"/>
              <w:rPr>
                <w:rFonts w:ascii="Times New Roman" w:hAnsi="Times New Roman" w:cs="Times New Roman"/>
                <w:sz w:val="24"/>
                <w:szCs w:val="24"/>
              </w:rPr>
            </w:pPr>
            <w:r>
              <w:rPr>
                <w:rFonts w:cs="Times New Roman" w:ascii="Times New Roman" w:hAnsi="Times New Roman"/>
                <w:sz w:val="24"/>
                <w:szCs w:val="24"/>
              </w:rPr>
              <w:t>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tc>
      </w:tr>
      <w:tr>
        <w:trPr/>
        <w:tc>
          <w:tcPr>
            <w:tcW w:w="9326" w:type="dxa"/>
            <w:gridSpan w:val="2"/>
            <w:tcBorders/>
            <w:shd w:fill="auto" w:val="clear"/>
            <w:tcMar>
              <w:left w:w="73" w:type="dxa"/>
            </w:tcMar>
            <w:vAlign w:val="center"/>
          </w:tcPr>
          <w:p>
            <w:pPr>
              <w:pStyle w:val="Normal"/>
              <w:widowControl w:val="false"/>
              <w:spacing w:lineRule="auto" w:line="240" w:before="0" w:after="0"/>
              <w:ind w:firstLine="567"/>
              <w:jc w:val="center"/>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не установлены</w:t>
            </w:r>
          </w:p>
        </w:tc>
      </w:tr>
    </w:tbl>
    <w:p>
      <w:pPr>
        <w:pStyle w:val="Normal"/>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widowControl w:val="fals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минимальный отступ от границ соседних земельных участков - 1 метр.</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3. Предельное количество этажей или предельная высота зданий, строений, сооружений:</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Предельное количество этажей или предельная высота зданий, строений, сооружений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pPr>
        <w:pStyle w:val="Normal"/>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 xml:space="preserve">Максимальный процент застройки в границах земельного участка в данной территориальной зоне </w:t>
      </w:r>
      <w:r>
        <w:rPr>
          <w:rFonts w:eastAsia="Times New Roman" w:cs="Times New Roman" w:ascii="Times New Roman" w:hAnsi="Times New Roman"/>
          <w:sz w:val="24"/>
          <w:szCs w:val="24"/>
          <w:lang w:bidi="ru-RU"/>
        </w:rPr>
        <w:t>не подлежат ограничению.</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5. Иные предельные параметры разрешенного строительства, реконструкции объектов капитального строительства.</w:t>
      </w:r>
    </w:p>
    <w:p>
      <w:pPr>
        <w:pStyle w:val="Normal"/>
        <w:widowControl w:val="false"/>
        <w:tabs>
          <w:tab w:val="left" w:pos="158" w:leader="none"/>
        </w:tabs>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Площадь земельного участка для размещения сельскохозяйственных предприятий, зданий и сооружений определяется по заданию на проектирование с учетом норматива минимальной плотности застройки.</w:t>
      </w:r>
    </w:p>
    <w:p>
      <w:pPr>
        <w:pStyle w:val="Normal"/>
        <w:widowControl w:val="false"/>
        <w:tabs>
          <w:tab w:val="left" w:pos="158" w:leader="none"/>
        </w:tabs>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Площадки сельскохозяйственных предприятий размером более 5 га должны иметь не менее двух въездов, расстояние между которыми по периметру ограждения должно быть не более 1500 м.</w:t>
      </w:r>
    </w:p>
    <w:p>
      <w:pPr>
        <w:pStyle w:val="Normal"/>
        <w:widowControl w:val="false"/>
        <w:suppressAutoHyphens w:val="true"/>
        <w:spacing w:lineRule="auto" w:line="240" w:before="0" w:after="0"/>
        <w:ind w:firstLine="567"/>
        <w:jc w:val="both"/>
        <w:rPr>
          <w:rFonts w:ascii="Times New Roman" w:hAnsi="Times New Roman" w:cs="Times New Roman"/>
          <w:sz w:val="24"/>
          <w:szCs w:val="24"/>
        </w:rPr>
      </w:pPr>
      <w:r>
        <w:rPr>
          <w:rFonts w:cs="Times New Roman" w:ascii="Times New Roman" w:hAnsi="Times New Roman"/>
          <w:sz w:val="24"/>
          <w:szCs w:val="24"/>
        </w:rPr>
        <w:t>Предельные (минимальные и максимальные) размеры земельных участков, предоставляемых гражданам в собственность из земель, находящихся в государственной или муниципальной собственности, для ведения крестьянского (фермерского) хозяйства - от 0,5 гектара до 1 гектара.</w:t>
      </w:r>
    </w:p>
    <w:p>
      <w:pPr>
        <w:pStyle w:val="Normal"/>
        <w:widowControl w:val="false"/>
        <w:spacing w:lineRule="auto" w:line="240" w:before="0" w:after="0"/>
        <w:ind w:firstLine="567"/>
        <w:jc w:val="both"/>
        <w:rPr>
          <w:rFonts w:ascii="Times New Roman" w:hAnsi="Times New Roman" w:cs="Times New Roman"/>
          <w:b/>
          <w:b/>
          <w:sz w:val="24"/>
          <w:szCs w:val="24"/>
        </w:rPr>
      </w:pPr>
      <w:r>
        <w:rPr>
          <w:rFonts w:cs="Times New Roman" w:ascii="Times New Roman" w:hAnsi="Times New Roman"/>
          <w:b/>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pPr>
        <w:pStyle w:val="Normal"/>
        <w:widowControl w:val="false"/>
        <w:tabs>
          <w:tab w:val="left" w:pos="432" w:leader="none"/>
        </w:tabs>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При размещении сельскохозяйственных предприятий, зданий и сооружений производственных зон расстояния между ними следует назначать исходя из плотности застройки, норм технологического проектирования, санитарных правил и норм, ветеринарных требований, требований пожарной безопасности к процессам проектирования, устанавливаемыми нормативными правовыми актами Российской Федерации по пожарной безопасности, нормативными документами по пожарной безопасности, и в соответствии с настоящими Нормативами.</w:t>
      </w:r>
    </w:p>
    <w:p>
      <w:pPr>
        <w:pStyle w:val="Normal"/>
        <w:widowControl w:val="false"/>
        <w:tabs>
          <w:tab w:val="left" w:pos="432" w:leader="none"/>
        </w:tabs>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На границе санитарно-защитных зон шириной более 100 м со стороны селитебной зоны необходимо предусматривать полосу древесно-кустарниковых насаждений шириной не менее 30 м, а при ширине зоны от 50 до 100 м - полосу шириной не менее 10 м.</w:t>
      </w:r>
    </w:p>
    <w:p>
      <w:pPr>
        <w:pStyle w:val="Normal"/>
        <w:widowControl w:val="false"/>
        <w:tabs>
          <w:tab w:val="left" w:pos="278" w:leader="none"/>
        </w:tabs>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Предприятия и объекты, размер санитарно-защитных зон которых превышает 500 м, необходимо размещать на обособленных земельных участках производственных зон сельских населенных пунктов.</w:t>
      </w:r>
    </w:p>
    <w:p>
      <w:pPr>
        <w:pStyle w:val="Normal"/>
        <w:widowControl w:val="false"/>
        <w:tabs>
          <w:tab w:val="left" w:pos="278" w:leader="none"/>
        </w:tabs>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Животноводческие и птицеводческие фермы, ветеринарные учреждения и предприятия по производству молока, мяса и яиц на промышленной основе следует располагать с подветренной стороны по отношению к другим сельскохозяйственным объектам и селитебной территории.</w:t>
      </w:r>
    </w:p>
    <w:p>
      <w:pPr>
        <w:pStyle w:val="Normal"/>
        <w:widowControl w:val="false"/>
        <w:tabs>
          <w:tab w:val="left" w:pos="274" w:leader="none"/>
        </w:tabs>
        <w:spacing w:lineRule="auto" w:line="240" w:before="0" w:after="0"/>
        <w:ind w:firstLine="567"/>
        <w:jc w:val="both"/>
        <w:rPr>
          <w:rFonts w:ascii="Times New Roman" w:hAnsi="Times New Roman" w:eastAsia="Times New Roman" w:cs="Times New Roman"/>
          <w:sz w:val="24"/>
          <w:szCs w:val="24"/>
          <w:lang w:bidi="ru-RU"/>
        </w:rPr>
      </w:pPr>
      <w:r>
        <w:rPr>
          <w:rFonts w:eastAsia="Times New Roman" w:cs="Times New Roman" w:ascii="Times New Roman" w:hAnsi="Times New Roman"/>
          <w:sz w:val="24"/>
          <w:szCs w:val="24"/>
          <w:lang w:bidi="ru-RU"/>
        </w:rPr>
        <w:t>Теплицы и парники следует располагать, как правило, на южных или юго-восточных склонах, с наивысшим уровнем грунтовых вод не менее 1,5 м от поверхности земли.</w:t>
      </w:r>
    </w:p>
    <w:p>
      <w:pPr>
        <w:pStyle w:val="1"/>
        <w:jc w:val="both"/>
        <w:rPr>
          <w:rFonts w:ascii="Times New Roman" w:hAnsi="Times New Roman" w:cs="Times New Roman"/>
          <w:b/>
          <w:b/>
          <w:color w:val="00000A"/>
          <w:sz w:val="24"/>
          <w:szCs w:val="24"/>
        </w:rPr>
      </w:pPr>
      <w:bookmarkStart w:id="135" w:name="_Toc485621493"/>
      <w:r>
        <w:rPr>
          <w:rFonts w:cs="Times New Roman" w:ascii="Times New Roman" w:hAnsi="Times New Roman"/>
          <w:b/>
          <w:color w:val="00000A"/>
          <w:sz w:val="24"/>
          <w:szCs w:val="24"/>
        </w:rPr>
        <w:t>РАЗДЕЛ I</w:t>
      </w:r>
      <w:r>
        <w:rPr>
          <w:rFonts w:cs="Times New Roman" w:ascii="Times New Roman" w:hAnsi="Times New Roman"/>
          <w:b/>
          <w:color w:val="00000A"/>
          <w:sz w:val="24"/>
          <w:szCs w:val="24"/>
          <w:lang w:val="en-US"/>
        </w:rPr>
        <w:t>V</w:t>
      </w:r>
      <w:bookmarkEnd w:id="135"/>
      <w:r>
        <w:rPr>
          <w:rFonts w:cs="Times New Roman" w:ascii="Times New Roman" w:hAnsi="Times New Roman"/>
          <w:b/>
          <w:color w:val="00000A"/>
          <w:sz w:val="24"/>
          <w:szCs w:val="24"/>
        </w:rPr>
        <w:t>. ТЕРРИТОРИИ, ДЛЯ КОТОРЫХ ГРАДОСТРОИТЕЛЬНЫЕ РЕГЛАМЕНТЫ НЕ РАСПРОСТРАНЯЮТСЯ ИЛИ ДЛЯ КОТОРЫХ ГРАДОСТРОИТЕЛЬНЫЕ РЕГЛАМЕНТЫ НЕ УСТАНАВЛИВАЮТСЯ</w:t>
      </w:r>
    </w:p>
    <w:p>
      <w:pPr>
        <w:pStyle w:val="1"/>
        <w:jc w:val="both"/>
        <w:rPr>
          <w:rFonts w:ascii="Times New Roman" w:hAnsi="Times New Roman" w:cs="Times New Roman"/>
          <w:b/>
          <w:b/>
          <w:color w:val="00000A"/>
          <w:sz w:val="24"/>
          <w:szCs w:val="24"/>
        </w:rPr>
      </w:pPr>
      <w:bookmarkStart w:id="136" w:name="_Toc485621494"/>
      <w:r>
        <w:rPr>
          <w:rFonts w:cs="Times New Roman" w:ascii="Times New Roman" w:hAnsi="Times New Roman"/>
          <w:b/>
          <w:color w:val="00000A"/>
          <w:sz w:val="24"/>
          <w:szCs w:val="24"/>
        </w:rPr>
        <w:t>ГЛАВА 10. ИСПОЛЬЗОВАНИЕ ТЕРРИТОРИЙ, ДЛЯ КОТОРЫХ ГРАДОСТРОИТЕЛЬНЫЕ РЕГЛАМЕНТЫ НЕ РАСПРОСТРАНЯЮТСЯ ИЛИ ДЛЯ КОТОРЫХ ГРАДОСТРОИТЕЛЬНЫЕ РЕГЛАМЕНТЫ НЕ УСТАНАВЛИВАЮТСЯ</w:t>
      </w:r>
      <w:bookmarkEnd w:id="136"/>
      <w:r>
        <w:rPr>
          <w:rFonts w:cs="Times New Roman" w:ascii="Times New Roman" w:hAnsi="Times New Roman"/>
          <w:b/>
          <w:color w:val="00000A"/>
          <w:sz w:val="24"/>
          <w:szCs w:val="24"/>
        </w:rPr>
        <w:t xml:space="preserve"> </w:t>
      </w:r>
    </w:p>
    <w:p>
      <w:pPr>
        <w:pStyle w:val="Normal"/>
        <w:keepNext/>
        <w:keepLines/>
        <w:widowControl w:val="false"/>
        <w:numPr>
          <w:ilvl w:val="0"/>
          <w:numId w:val="0"/>
        </w:numPr>
        <w:spacing w:lineRule="auto" w:line="240" w:before="0" w:after="0"/>
        <w:outlineLvl w:val="1"/>
        <w:rPr>
          <w:rFonts w:ascii="Times New Roman" w:hAnsi="Times New Roman" w:eastAsia="Calibri" w:cs="Times New Roman"/>
          <w:b/>
          <w:b/>
          <w:bCs/>
          <w:i/>
          <w:i/>
          <w:sz w:val="24"/>
          <w:szCs w:val="24"/>
          <w:lang w:eastAsia="ar-SA" w:bidi="ru-RU"/>
        </w:rPr>
      </w:pPr>
      <w:bookmarkStart w:id="137" w:name="_Toc485621495"/>
      <w:bookmarkStart w:id="138" w:name="_Toc452107005"/>
      <w:bookmarkStart w:id="139" w:name="_Toc484865809"/>
      <w:r>
        <w:rPr>
          <w:rFonts w:eastAsia="Times New Roman" w:cs="Times New Roman" w:ascii="Times New Roman" w:hAnsi="Times New Roman"/>
          <w:b/>
          <w:bCs/>
          <w:i/>
          <w:sz w:val="24"/>
          <w:szCs w:val="24"/>
          <w:lang w:bidi="ru-RU"/>
        </w:rPr>
        <w:t xml:space="preserve">Статья 60. </w:t>
      </w:r>
      <w:bookmarkEnd w:id="138"/>
      <w:bookmarkEnd w:id="139"/>
      <w:r>
        <w:rPr>
          <w:rFonts w:eastAsia="Times New Roman" w:cs="Times New Roman" w:ascii="Times New Roman" w:hAnsi="Times New Roman"/>
          <w:b/>
          <w:bCs/>
          <w:i/>
          <w:sz w:val="24"/>
          <w:szCs w:val="24"/>
          <w:lang w:bidi="ru-RU"/>
        </w:rPr>
        <w:t>Территории, для которых</w:t>
      </w:r>
      <w:r>
        <w:rPr>
          <w:rFonts w:cs="Times New Roman" w:ascii="Times New Roman" w:hAnsi="Times New Roman"/>
          <w:b/>
          <w:i/>
          <w:sz w:val="24"/>
          <w:szCs w:val="24"/>
        </w:rPr>
        <w:t xml:space="preserve"> настоящими Правилами</w:t>
      </w:r>
      <w:bookmarkStart w:id="140" w:name="bookmark98"/>
      <w:bookmarkEnd w:id="137"/>
      <w:bookmarkEnd w:id="140"/>
      <w:r>
        <w:rPr>
          <w:rFonts w:eastAsia="Times New Roman" w:cs="Times New Roman" w:ascii="Times New Roman" w:hAnsi="Times New Roman"/>
          <w:b/>
          <w:bCs/>
          <w:i/>
          <w:sz w:val="24"/>
          <w:szCs w:val="24"/>
          <w:lang w:bidi="ru-RU"/>
        </w:rPr>
        <w:t xml:space="preserve"> градостроительные регламенты не распространяются</w:t>
      </w:r>
    </w:p>
    <w:p>
      <w:pPr>
        <w:pStyle w:val="Normal"/>
        <w:widowControl w:val="false"/>
        <w:spacing w:lineRule="auto" w:line="240" w:before="0" w:after="0"/>
        <w:ind w:firstLine="720"/>
        <w:jc w:val="both"/>
        <w:rPr>
          <w:rFonts w:ascii="Times New Roman" w:hAnsi="Times New Roman" w:eastAsia="Times New Roman" w:cs="Times New Roman"/>
          <w:sz w:val="24"/>
          <w:szCs w:val="24"/>
          <w:lang w:eastAsia="ru-RU"/>
        </w:rPr>
      </w:pPr>
      <w:r>
        <w:rPr>
          <w:rFonts w:eastAsia="Times New Roman" w:cs="Times New Roman" w:ascii="Times New Roman" w:hAnsi="Times New Roman"/>
          <w:sz w:val="24"/>
          <w:szCs w:val="24"/>
          <w:lang w:eastAsia="ru-RU"/>
        </w:rPr>
        <w:t>Действие градостроительного регламента не распространяется на земельные участки:</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2. В границах территорий общего пользования;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3. Предназначенные для размещения линейных объектов и (или) занятые линейными объектами;</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4. Предоставленные для добычи полезных ископаемых. </w:t>
      </w:r>
    </w:p>
    <w:p>
      <w:pPr>
        <w:pStyle w:val="2"/>
        <w:jc w:val="both"/>
        <w:rPr>
          <w:rFonts w:ascii="Times New Roman" w:hAnsi="Times New Roman" w:cs="Times New Roman"/>
          <w:b/>
          <w:b/>
          <w:i/>
          <w:i/>
          <w:color w:val="00000A"/>
          <w:sz w:val="24"/>
          <w:szCs w:val="24"/>
        </w:rPr>
      </w:pPr>
      <w:bookmarkStart w:id="141" w:name="_Toc485621496"/>
      <w:bookmarkEnd w:id="141"/>
      <w:r>
        <w:rPr>
          <w:rFonts w:cs="Times New Roman" w:ascii="Times New Roman" w:hAnsi="Times New Roman"/>
          <w:b/>
          <w:i/>
          <w:color w:val="00000A"/>
          <w:sz w:val="24"/>
          <w:szCs w:val="24"/>
        </w:rPr>
        <w:t>Статья 61. Территории, для которых настоящими Правилами градостроительные регламенты не устанавливаются</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t xml:space="preserve">1.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 </w:t>
      </w:r>
    </w:p>
    <w:p>
      <w:pPr>
        <w:pStyle w:val="Normal"/>
        <w:spacing w:lineRule="auto" w:line="240" w:before="0" w:after="0"/>
        <w:ind w:firstLine="709"/>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t>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земельных участков в границах особых экономических зон определяется органами управления особыми экономическими зонами.</w:t>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240" w:before="0" w:after="0"/>
        <w:ind w:firstLine="709"/>
        <w:jc w:val="right"/>
        <w:rPr>
          <w:rFonts w:ascii="Times New Roman" w:hAnsi="Times New Roman" w:cs="Times New Roman"/>
          <w:b/>
          <w:b/>
          <w:sz w:val="24"/>
          <w:szCs w:val="24"/>
        </w:rPr>
      </w:pPr>
      <w:r>
        <w:rPr>
          <w:rFonts w:cs="Times New Roman" w:ascii="Times New Roman" w:hAnsi="Times New Roman"/>
          <w:b/>
          <w:sz w:val="24"/>
          <w:szCs w:val="24"/>
        </w:rPr>
        <w:t>Приложение 1</w:t>
      </w:r>
    </w:p>
    <w:p>
      <w:pPr>
        <w:pStyle w:val="ConsPlusNormal1"/>
        <w:numPr>
          <w:ilvl w:val="0"/>
          <w:numId w:val="0"/>
        </w:numPr>
        <w:outlineLvl w:val="0"/>
        <w:rPr/>
      </w:pPr>
      <w:r>
        <w:rPr/>
        <w:t>Зарегистрировано в Минюсте России 8 сентября 2014 г. N 33995</w:t>
      </w:r>
    </w:p>
    <w:p>
      <w:pPr>
        <w:pStyle w:val="ConsPlusNormal1"/>
        <w:pBdr>
          <w:top w:val="single" w:sz="6" w:space="0" w:color="00000A"/>
        </w:pBdr>
        <w:spacing w:before="100" w:after="100"/>
        <w:jc w:val="both"/>
        <w:rPr>
          <w:sz w:val="2"/>
          <w:szCs w:val="2"/>
        </w:rPr>
      </w:pPr>
      <w:r>
        <w:rPr>
          <w:sz w:val="2"/>
          <w:szCs w:val="2"/>
        </w:rPr>
      </w:r>
    </w:p>
    <w:p>
      <w:pPr>
        <w:pStyle w:val="ConsPlusNormal1"/>
        <w:jc w:val="center"/>
        <w:rPr/>
      </w:pPr>
      <w:r>
        <w:rPr/>
      </w:r>
    </w:p>
    <w:p>
      <w:pPr>
        <w:pStyle w:val="ConsPlusTitle"/>
        <w:jc w:val="center"/>
        <w:rPr/>
      </w:pPr>
      <w:r>
        <w:rPr/>
        <w:t>МИНИСТЕРСТВО ЭКОНОМИЧЕСКОГО РАЗВИТИЯ РОССИЙСКОЙ ФЕДЕРАЦИИ</w:t>
      </w:r>
    </w:p>
    <w:p>
      <w:pPr>
        <w:pStyle w:val="ConsPlusTitle"/>
        <w:jc w:val="center"/>
        <w:rPr/>
      </w:pPr>
      <w:r>
        <w:rPr/>
      </w:r>
    </w:p>
    <w:p>
      <w:pPr>
        <w:pStyle w:val="ConsPlusTitle"/>
        <w:jc w:val="center"/>
        <w:rPr/>
      </w:pPr>
      <w:r>
        <w:rPr/>
        <w:t>ПРИКАЗ</w:t>
      </w:r>
    </w:p>
    <w:p>
      <w:pPr>
        <w:pStyle w:val="ConsPlusTitle"/>
        <w:jc w:val="center"/>
        <w:rPr/>
      </w:pPr>
      <w:r>
        <w:rPr/>
        <w:t>от 1 сентября 2014 г. N 540</w:t>
      </w:r>
    </w:p>
    <w:p>
      <w:pPr>
        <w:pStyle w:val="ConsPlusTitle"/>
        <w:jc w:val="center"/>
        <w:rPr/>
      </w:pPr>
      <w:r>
        <w:rPr/>
      </w:r>
    </w:p>
    <w:p>
      <w:pPr>
        <w:pStyle w:val="ConsPlusTitle"/>
        <w:jc w:val="center"/>
        <w:rPr/>
      </w:pPr>
      <w:r>
        <w:rPr/>
        <w:t>ОБ УТВЕРЖДЕНИИ КЛАССИФИКАТОРА</w:t>
      </w:r>
    </w:p>
    <w:p>
      <w:pPr>
        <w:pStyle w:val="ConsPlusTitle"/>
        <w:jc w:val="center"/>
        <w:rPr/>
      </w:pPr>
      <w:r>
        <w:rPr/>
        <w:t>ВИДОВ РАЗРЕШЕННОГО ИСПОЛЬЗОВАНИЯ ЗЕМЕЛЬНЫХ УЧАСТКОВ</w:t>
      </w:r>
    </w:p>
    <w:p>
      <w:pPr>
        <w:pStyle w:val="Normal"/>
        <w:spacing w:before="0" w:after="1"/>
        <w:rPr/>
      </w:pPr>
      <w:r>
        <w:rPr/>
      </w:r>
    </w:p>
    <w:tbl>
      <w:tblPr>
        <w:tblW w:w="9354" w:type="dxa"/>
        <w:jc w:val="center"/>
        <w:tblInd w:w="0" w:type="dxa"/>
        <w:tblBorders>
          <w:left w:val="single" w:sz="24" w:space="0" w:color="CED3F1"/>
          <w:right w:val="single" w:sz="24" w:space="0" w:color="F4F3F8"/>
          <w:insideV w:val="single" w:sz="24" w:space="0" w:color="F4F3F8"/>
        </w:tblBorders>
        <w:tblCellMar>
          <w:top w:w="113" w:type="dxa"/>
          <w:left w:w="-7" w:type="dxa"/>
          <w:bottom w:w="113" w:type="dxa"/>
          <w:right w:w="113" w:type="dxa"/>
        </w:tblCellMar>
        <w:tblLook w:val="0000"/>
      </w:tblPr>
      <w:tblGrid>
        <w:gridCol w:w="9354"/>
      </w:tblGrid>
      <w:tr>
        <w:trPr/>
        <w:tc>
          <w:tcPr>
            <w:tcW w:w="9354" w:type="dxa"/>
            <w:tcBorders>
              <w:left w:val="single" w:sz="24" w:space="0" w:color="CED3F1"/>
              <w:right w:val="single" w:sz="24" w:space="0" w:color="F4F3F8"/>
              <w:insideV w:val="single" w:sz="24" w:space="0" w:color="F4F3F8"/>
            </w:tcBorders>
            <w:shd w:color="auto" w:fill="F4F3F8" w:val="clear"/>
            <w:tcMar>
              <w:left w:w="-7" w:type="dxa"/>
            </w:tcMar>
          </w:tcPr>
          <w:p>
            <w:pPr>
              <w:pStyle w:val="ConsPlusNormal1"/>
              <w:jc w:val="center"/>
              <w:rPr/>
            </w:pPr>
            <w:r>
              <w:rPr>
                <w:color w:val="392C69"/>
              </w:rPr>
              <w:t>Список изменяющих документов</w:t>
            </w:r>
          </w:p>
          <w:p>
            <w:pPr>
              <w:pStyle w:val="ConsPlusNormal1"/>
              <w:jc w:val="center"/>
              <w:rPr/>
            </w:pPr>
            <w:r>
              <w:rPr>
                <w:color w:val="392C69"/>
              </w:rPr>
              <w:t xml:space="preserve">(в ред. Приказов Минэкономразвития России от 30.09.2015 </w:t>
            </w:r>
            <w:hyperlink r:id="rId2">
              <w:r>
                <w:rPr>
                  <w:webHidden/>
                  <w:rStyle w:val="Style5"/>
                  <w:vanish/>
                  <w:color w:val="0000FF"/>
                </w:rPr>
                <w:t>N 709</w:t>
              </w:r>
            </w:hyperlink>
            <w:r>
              <w:rPr>
                <w:color w:val="392C69"/>
              </w:rPr>
              <w:t>,</w:t>
            </w:r>
          </w:p>
          <w:p>
            <w:pPr>
              <w:pStyle w:val="ConsPlusNormal1"/>
              <w:jc w:val="center"/>
              <w:rPr/>
            </w:pPr>
            <w:r>
              <w:rPr>
                <w:color w:val="392C69"/>
              </w:rPr>
              <w:t xml:space="preserve">от 06.10.2017 </w:t>
            </w:r>
            <w:hyperlink r:id="rId3">
              <w:r>
                <w:rPr>
                  <w:webHidden/>
                  <w:rStyle w:val="Style5"/>
                  <w:vanish/>
                  <w:color w:val="0000FF"/>
                </w:rPr>
                <w:t>N 547</w:t>
              </w:r>
            </w:hyperlink>
            <w:r>
              <w:rPr>
                <w:color w:val="392C69"/>
              </w:rPr>
              <w:t>)</w:t>
            </w:r>
          </w:p>
        </w:tc>
      </w:tr>
    </w:tbl>
    <w:p>
      <w:pPr>
        <w:pStyle w:val="ConsPlusNormal1"/>
        <w:jc w:val="center"/>
        <w:rPr/>
      </w:pPr>
      <w:r>
        <w:rPr/>
      </w:r>
    </w:p>
    <w:p>
      <w:pPr>
        <w:pStyle w:val="ConsPlusNormal1"/>
        <w:ind w:firstLine="540"/>
        <w:jc w:val="both"/>
        <w:rPr/>
      </w:pPr>
      <w:r>
        <w:rPr/>
        <w:t xml:space="preserve">В соответствии с </w:t>
      </w:r>
      <w:hyperlink r:id="rId4">
        <w:r>
          <w:rPr>
            <w:webHidden/>
            <w:rStyle w:val="Style5"/>
            <w:vanish/>
            <w:color w:val="0000FF"/>
          </w:rPr>
          <w:t>пунктом 2 статьи 7</w:t>
        </w:r>
      </w:hyperlink>
      <w:r>
        <w:rPr/>
        <w:t xml:space="preserve"> Земельного кодекса Российской Федерации (Собрание законодательства Российской Федерации, 2001, N 44, ст. 4147; 2003, N 27, ст. 2700; 2004, N 27, ст. 2711; N 41, ст. 3993; N 52, ст. 5276; 2005, N 1, ст. 15, 17; N 10, ст. 763; N 30, ст. 3122, 3128; 2006, N 1, ст. 17; N 17, ст. 1782; N 23, ст. 2380; N 27, ст. 2880, 2881; N 31, ст. 3453; N 43, ст. 4412; N 50, ст. 5279, 5282, 5498; 2007, N 1, ст. 23, 24; N 10, ст. 1148; N 21, ст. 2455; N 26, ст. 3075; N 31, ст. 4009; N 45, ст. 5417; N 46, ст. 5553; 2008, N 20, ст. 2251, 2253; N 29, ст. 3418; N 30, ст. 3597, 3616; N 52, ст. 6236; 2009, N 1, ст. 19; N 11, ст. 1261; N 29, ст. 3582, 3601; N 30, ст. 3735; N 52, ст. 6416, 6419, 6441; 2010, N 30, ст. 3998; 2011, N 1, ст. 47, 54; N 13, ст. 1688; N 15, ст. 2029; N 25, ст. 3531; N 27, ст. 3880; N 29, ст. 4284; N 30, ст. 4562, 4563, 4567, 4590, 4594, 4605; N 48, ст. 6732; N 49, ст. 7027, 7043; N 50, ст. 7343, 7365, 7359, 7366; N 51, ст. 7446, 7448; 2012, N 26, ст. 3446; N 31, ст. 4322; N 53, ст. 7643; 2013, N 9, ст. 873; N 14, ст. 1663; N 30, ст. 4080; 2014, N 26, ст. 3377) приказываю:</w:t>
      </w:r>
    </w:p>
    <w:p>
      <w:pPr>
        <w:pStyle w:val="ConsPlusNormal1"/>
        <w:spacing w:before="220" w:after="200"/>
        <w:ind w:firstLine="540"/>
        <w:jc w:val="both"/>
        <w:rPr/>
      </w:pPr>
      <w:bookmarkStart w:id="142" w:name="P16"/>
      <w:bookmarkEnd w:id="142"/>
      <w:r>
        <w:rPr/>
        <w:t xml:space="preserve">1. Утвердить </w:t>
      </w:r>
      <w:hyperlink w:anchor="P31">
        <w:r>
          <w:rPr>
            <w:webHidden/>
            <w:rStyle w:val="Style5"/>
            <w:vanish/>
            <w:color w:val="0000FF"/>
          </w:rPr>
          <w:t>классификатор</w:t>
        </w:r>
      </w:hyperlink>
      <w:r>
        <w:rPr/>
        <w:t xml:space="preserve"> видов разрешенного использования земельных участков.</w:t>
      </w:r>
    </w:p>
    <w:p>
      <w:pPr>
        <w:pStyle w:val="ConsPlusNormal1"/>
        <w:spacing w:before="220" w:after="200"/>
        <w:ind w:firstLine="540"/>
        <w:jc w:val="both"/>
        <w:rPr/>
      </w:pPr>
      <w:r>
        <w:rPr/>
        <w:t xml:space="preserve">2. Установить, что в соответствии с классификатором, утвержденным </w:t>
      </w:r>
      <w:hyperlink w:anchor="P16">
        <w:r>
          <w:rPr>
            <w:webHidden/>
            <w:rStyle w:val="Style5"/>
            <w:vanish/>
            <w:color w:val="0000FF"/>
          </w:rPr>
          <w:t>пунктом 1</w:t>
        </w:r>
      </w:hyperlink>
      <w:r>
        <w:rPr/>
        <w:t xml:space="preserve"> настоящего приказа, определяются виды разрешенного использования земельных участков, устанавливаемые после вступления настоящего приказа в силу.</w:t>
      </w:r>
    </w:p>
    <w:p>
      <w:pPr>
        <w:pStyle w:val="ConsPlusNormal1"/>
        <w:spacing w:before="220" w:after="200"/>
        <w:ind w:firstLine="540"/>
        <w:jc w:val="both"/>
        <w:rPr/>
      </w:pPr>
      <w:r>
        <w:rPr/>
        <w:t>3. Настоящий приказ вступает в силу по истечении 90 дней после дня его официального опубликования.</w:t>
      </w:r>
    </w:p>
    <w:p>
      <w:pPr>
        <w:pStyle w:val="ConsPlusNormal1"/>
        <w:ind w:firstLine="540"/>
        <w:jc w:val="both"/>
        <w:rPr/>
      </w:pPr>
      <w:r>
        <w:rPr/>
      </w:r>
    </w:p>
    <w:p>
      <w:pPr>
        <w:pStyle w:val="ConsPlusNormal1"/>
        <w:jc w:val="right"/>
        <w:rPr/>
      </w:pPr>
      <w:r>
        <w:rPr/>
        <w:t>Министр</w:t>
      </w:r>
    </w:p>
    <w:p>
      <w:pPr>
        <w:pStyle w:val="ConsPlusNormal1"/>
        <w:jc w:val="right"/>
        <w:rPr/>
      </w:pPr>
      <w:r>
        <w:rPr/>
        <w:t>А.В.УЛЮКАЕВ</w:t>
      </w:r>
    </w:p>
    <w:p>
      <w:pPr>
        <w:pStyle w:val="ConsPlusNormal1"/>
        <w:jc w:val="right"/>
        <w:rPr/>
      </w:pPr>
      <w:r>
        <w:rPr/>
      </w:r>
    </w:p>
    <w:p>
      <w:pPr>
        <w:pStyle w:val="ConsPlusNormal1"/>
        <w:jc w:val="right"/>
        <w:rPr/>
      </w:pPr>
      <w:r>
        <w:rPr/>
      </w:r>
    </w:p>
    <w:p>
      <w:pPr>
        <w:pStyle w:val="ConsPlusNormal1"/>
        <w:jc w:val="right"/>
        <w:rPr/>
      </w:pPr>
      <w:r>
        <w:rPr/>
      </w:r>
    </w:p>
    <w:p>
      <w:pPr>
        <w:pStyle w:val="ConsPlusNormal1"/>
        <w:jc w:val="right"/>
        <w:rPr/>
      </w:pPr>
      <w:r>
        <w:rPr/>
      </w:r>
    </w:p>
    <w:p>
      <w:pPr>
        <w:pStyle w:val="ConsPlusNormal1"/>
        <w:jc w:val="right"/>
        <w:rPr/>
      </w:pPr>
      <w:r>
        <w:rPr/>
      </w:r>
    </w:p>
    <w:p>
      <w:pPr>
        <w:pStyle w:val="ConsPlusNormal1"/>
        <w:numPr>
          <w:ilvl w:val="0"/>
          <w:numId w:val="0"/>
        </w:numPr>
        <w:jc w:val="right"/>
        <w:outlineLvl w:val="0"/>
        <w:rPr/>
      </w:pPr>
      <w:r>
        <w:rPr/>
        <w:t>Приложение</w:t>
      </w:r>
    </w:p>
    <w:p>
      <w:pPr>
        <w:pStyle w:val="ConsPlusNormal1"/>
        <w:jc w:val="right"/>
        <w:rPr/>
      </w:pPr>
      <w:r>
        <w:rPr/>
        <w:t>к приказу Минэкономразвития России</w:t>
      </w:r>
    </w:p>
    <w:p>
      <w:pPr>
        <w:pStyle w:val="ConsPlusNormal1"/>
        <w:jc w:val="right"/>
        <w:rPr/>
      </w:pPr>
      <w:r>
        <w:rPr/>
        <w:t>от 1 сентября 2014 г. N 540</w:t>
      </w:r>
    </w:p>
    <w:p>
      <w:pPr>
        <w:pStyle w:val="ConsPlusNormal1"/>
        <w:ind w:firstLine="540"/>
        <w:jc w:val="both"/>
        <w:rPr/>
      </w:pPr>
      <w:r>
        <w:rPr/>
      </w:r>
    </w:p>
    <w:p>
      <w:pPr>
        <w:pStyle w:val="ConsPlusTitle"/>
        <w:jc w:val="center"/>
        <w:rPr/>
      </w:pPr>
      <w:bookmarkStart w:id="143" w:name="P31"/>
      <w:bookmarkEnd w:id="143"/>
      <w:r>
        <w:rPr/>
        <w:t>КЛАССИФИКАТОР</w:t>
      </w:r>
    </w:p>
    <w:p>
      <w:pPr>
        <w:pStyle w:val="ConsPlusTitle"/>
        <w:jc w:val="center"/>
        <w:rPr/>
      </w:pPr>
      <w:r>
        <w:rPr/>
        <w:t>ВИДОВ РАЗРЕШЕННОГО ИСПОЛЬЗОВАНИЯ ЗЕМЕЛЬНЫХ УЧАСТКОВ</w:t>
      </w:r>
    </w:p>
    <w:p>
      <w:pPr>
        <w:pStyle w:val="Normal"/>
        <w:spacing w:before="0" w:after="1"/>
        <w:rPr/>
      </w:pPr>
      <w:r>
        <w:rPr/>
      </w:r>
    </w:p>
    <w:tbl>
      <w:tblPr>
        <w:tblW w:w="9354" w:type="dxa"/>
        <w:jc w:val="center"/>
        <w:tblInd w:w="0" w:type="dxa"/>
        <w:tblBorders>
          <w:left w:val="single" w:sz="24" w:space="0" w:color="CED3F1"/>
          <w:right w:val="single" w:sz="24" w:space="0" w:color="F4F3F8"/>
          <w:insideV w:val="single" w:sz="24" w:space="0" w:color="F4F3F8"/>
        </w:tblBorders>
        <w:tblCellMar>
          <w:top w:w="113" w:type="dxa"/>
          <w:left w:w="-7" w:type="dxa"/>
          <w:bottom w:w="113" w:type="dxa"/>
          <w:right w:w="113" w:type="dxa"/>
        </w:tblCellMar>
        <w:tblLook w:val="0000"/>
      </w:tblPr>
      <w:tblGrid>
        <w:gridCol w:w="9354"/>
      </w:tblGrid>
      <w:tr>
        <w:trPr/>
        <w:tc>
          <w:tcPr>
            <w:tcW w:w="9354" w:type="dxa"/>
            <w:tcBorders>
              <w:left w:val="single" w:sz="24" w:space="0" w:color="CED3F1"/>
              <w:right w:val="single" w:sz="24" w:space="0" w:color="F4F3F8"/>
              <w:insideV w:val="single" w:sz="24" w:space="0" w:color="F4F3F8"/>
            </w:tcBorders>
            <w:shd w:color="auto" w:fill="F4F3F8" w:val="clear"/>
            <w:tcMar>
              <w:left w:w="-7" w:type="dxa"/>
            </w:tcMar>
          </w:tcPr>
          <w:p>
            <w:pPr>
              <w:pStyle w:val="ConsPlusNormal1"/>
              <w:jc w:val="center"/>
              <w:rPr/>
            </w:pPr>
            <w:r>
              <w:rPr>
                <w:color w:val="392C69"/>
              </w:rPr>
              <w:t>Список изменяющих документов</w:t>
            </w:r>
          </w:p>
          <w:p>
            <w:pPr>
              <w:pStyle w:val="ConsPlusNormal1"/>
              <w:jc w:val="center"/>
              <w:rPr/>
            </w:pPr>
            <w:r>
              <w:rPr>
                <w:color w:val="392C69"/>
              </w:rPr>
              <w:t xml:space="preserve">(в ред. Приказов Минэкономразвития России от 30.09.2015 </w:t>
            </w:r>
            <w:hyperlink r:id="rId5">
              <w:r>
                <w:rPr>
                  <w:webHidden/>
                  <w:rStyle w:val="Style5"/>
                  <w:vanish/>
                  <w:color w:val="0000FF"/>
                </w:rPr>
                <w:t>N 709</w:t>
              </w:r>
            </w:hyperlink>
            <w:r>
              <w:rPr>
                <w:color w:val="392C69"/>
              </w:rPr>
              <w:t>,</w:t>
            </w:r>
          </w:p>
          <w:p>
            <w:pPr>
              <w:pStyle w:val="ConsPlusNormal1"/>
              <w:jc w:val="center"/>
              <w:rPr/>
            </w:pPr>
            <w:r>
              <w:rPr>
                <w:color w:val="392C69"/>
              </w:rPr>
              <w:t xml:space="preserve">от 06.10.2017 </w:t>
            </w:r>
            <w:hyperlink r:id="rId6">
              <w:r>
                <w:rPr>
                  <w:webHidden/>
                  <w:rStyle w:val="Style5"/>
                  <w:vanish/>
                  <w:color w:val="0000FF"/>
                </w:rPr>
                <w:t>N 547</w:t>
              </w:r>
            </w:hyperlink>
            <w:r>
              <w:rPr>
                <w:color w:val="392C69"/>
              </w:rPr>
              <w:t>)</w:t>
            </w:r>
          </w:p>
        </w:tc>
      </w:tr>
    </w:tbl>
    <w:p>
      <w:pPr>
        <w:pStyle w:val="ConsPlusNormal1"/>
        <w:ind w:firstLine="540"/>
        <w:jc w:val="both"/>
        <w:rPr/>
      </w:pPr>
      <w:r>
        <w:rPr/>
      </w:r>
    </w:p>
    <w:tbl>
      <w:tblPr>
        <w:tblW w:w="10500" w:type="dxa"/>
        <w:jc w:val="left"/>
        <w:tblInd w:w="-8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02" w:type="dxa"/>
          <w:left w:w="42" w:type="dxa"/>
          <w:bottom w:w="102" w:type="dxa"/>
          <w:right w:w="62" w:type="dxa"/>
        </w:tblCellMar>
        <w:tblLook w:val="0000"/>
      </w:tblPr>
      <w:tblGrid>
        <w:gridCol w:w="2836"/>
        <w:gridCol w:w="64"/>
        <w:gridCol w:w="5889"/>
        <w:gridCol w:w="142"/>
        <w:gridCol w:w="1"/>
        <w:gridCol w:w="28"/>
        <w:gridCol w:w="113"/>
        <w:gridCol w:w="1427"/>
      </w:tblGrid>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 xml:space="preserve">Наименование вида разрешенного использования земельного участка </w:t>
            </w:r>
            <w:hyperlink w:anchor="P532">
              <w:r>
                <w:rPr>
                  <w:webHidden/>
                  <w:rStyle w:val="Style5"/>
                  <w:vanish/>
                  <w:color w:val="0000FF"/>
                </w:rPr>
                <w:t>&lt;1&gt;</w:t>
              </w:r>
            </w:hyperlink>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 xml:space="preserve">Описание вида разрешенного использования земельного участка </w:t>
            </w:r>
            <w:hyperlink w:anchor="P533">
              <w:r>
                <w:rPr>
                  <w:webHidden/>
                  <w:rStyle w:val="Style5"/>
                  <w:vanish/>
                  <w:color w:val="0000FF"/>
                </w:rPr>
                <w:t>&lt;2&gt;</w:t>
              </w:r>
            </w:hyperlink>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 xml:space="preserve">Код (числовое обозначение) вида разрешенного использования земельного участка </w:t>
            </w:r>
            <w:hyperlink w:anchor="P535">
              <w:r>
                <w:rPr>
                  <w:webHidden/>
                  <w:rStyle w:val="Style5"/>
                  <w:vanish/>
                  <w:color w:val="0000FF"/>
                </w:rPr>
                <w:t>&lt;3&gt;</w:t>
              </w:r>
            </w:hyperlink>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2</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Сельскохозяйственное использование</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Ведение сельского хозяйства.</w:t>
            </w:r>
          </w:p>
          <w:p>
            <w:pPr>
              <w:pStyle w:val="ConsPlusNormal1"/>
              <w:jc w:val="both"/>
              <w:rPr/>
            </w:pPr>
            <w:r>
              <w:rPr/>
              <w:t xml:space="preserve">Содержание данного вида разрешенного использования включает в себя содержание видов разрешенного использования с </w:t>
            </w:r>
            <w:hyperlink w:anchor="P50">
              <w:r>
                <w:rPr>
                  <w:webHidden/>
                  <w:rStyle w:val="Style5"/>
                  <w:vanish/>
                  <w:color w:val="0000FF"/>
                </w:rPr>
                <w:t>кодами 1.1</w:t>
              </w:r>
            </w:hyperlink>
            <w:r>
              <w:rPr/>
              <w:t xml:space="preserve"> - </w:t>
            </w:r>
            <w:hyperlink w:anchor="P115">
              <w:r>
                <w:rPr>
                  <w:webHidden/>
                  <w:rStyle w:val="Style5"/>
                  <w:vanish/>
                  <w:color w:val="0000FF"/>
                </w:rPr>
                <w:t>1.18</w:t>
              </w:r>
            </w:hyperlink>
            <w:r>
              <w:rPr/>
              <w:t>, в том числе размещение зданий и сооружений, используемых для хранения и переработки сельскохозяйственной продукции</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1.0</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Растениеводство</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связанной с выращиванием сельскохозяйственных культур.</w:t>
            </w:r>
          </w:p>
          <w:p>
            <w:pPr>
              <w:pStyle w:val="ConsPlusNormal1"/>
              <w:jc w:val="both"/>
              <w:rPr/>
            </w:pPr>
            <w:r>
              <w:rPr/>
              <w:t xml:space="preserve">Содержание данного вида разрешенного использования включает в себя содержание видов разрешенного использования с </w:t>
            </w:r>
            <w:hyperlink w:anchor="P53">
              <w:r>
                <w:rPr>
                  <w:webHidden/>
                  <w:rStyle w:val="Style5"/>
                  <w:vanish/>
                  <w:color w:val="0000FF"/>
                </w:rPr>
                <w:t>кодами 1.2</w:t>
              </w:r>
            </w:hyperlink>
            <w:r>
              <w:rPr/>
              <w:t xml:space="preserve"> - </w:t>
            </w:r>
            <w:hyperlink w:anchor="P65">
              <w:r>
                <w:rPr>
                  <w:webHidden/>
                  <w:rStyle w:val="Style5"/>
                  <w:vanish/>
                  <w:color w:val="0000FF"/>
                </w:rPr>
                <w:t>1.6</w:t>
              </w:r>
            </w:hyperlink>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bookmarkStart w:id="144" w:name="P50"/>
            <w:bookmarkEnd w:id="144"/>
            <w:r>
              <w:rPr/>
              <w:t>1.1</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Выращивание зерновых и иных сельскохозяйственных культур</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bookmarkStart w:id="145" w:name="P53"/>
            <w:bookmarkEnd w:id="145"/>
            <w:r>
              <w:rPr/>
              <w:t>1.2</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Овощеводство</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1.3</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Выращивание тонизирующих, лекарственных, цветочных культур</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1.4</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Садоводство</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1.5</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Выращивание льна и конопли</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в том числе на сельскохозяйственных угодьях, связанной с выращиванием льна, конопли</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bookmarkStart w:id="146" w:name="P65"/>
            <w:bookmarkEnd w:id="146"/>
            <w:r>
              <w:rPr/>
              <w:t>1.6</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Животноводство</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pPr>
              <w:pStyle w:val="ConsPlusNormal1"/>
              <w:jc w:val="both"/>
              <w:rPr/>
            </w:pPr>
            <w:r>
              <w:rPr/>
              <w:t xml:space="preserve">Содержание данного вида разрешенного использования включает в себя содержание видов разрешенного использования с </w:t>
            </w:r>
            <w:hyperlink w:anchor="P74">
              <w:r>
                <w:rPr>
                  <w:webHidden/>
                  <w:rStyle w:val="Style5"/>
                  <w:vanish/>
                  <w:color w:val="0000FF"/>
                </w:rPr>
                <w:t>кодами 1.8</w:t>
              </w:r>
            </w:hyperlink>
            <w:r>
              <w:rPr/>
              <w:t xml:space="preserve"> - </w:t>
            </w:r>
            <w:hyperlink w:anchor="P89">
              <w:r>
                <w:rPr>
                  <w:webHidden/>
                  <w:rStyle w:val="Style5"/>
                  <w:vanish/>
                  <w:color w:val="0000FF"/>
                </w:rPr>
                <w:t>1.11</w:t>
              </w:r>
            </w:hyperlink>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1.7</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Скотоводство</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pPr>
              <w:pStyle w:val="ConsPlusNormal1"/>
              <w:jc w:val="both"/>
              <w:rPr/>
            </w:pPr>
            <w:r>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pPr>
              <w:pStyle w:val="ConsPlusNormal1"/>
              <w:jc w:val="both"/>
              <w:rPr/>
            </w:pPr>
            <w:r>
              <w:rPr/>
              <w:t>разведение племенных животных, производство и использование племенной продукции (материала)</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bookmarkStart w:id="147" w:name="P74"/>
            <w:bookmarkEnd w:id="147"/>
            <w:r>
              <w:rPr/>
              <w:t>1.8</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Звероводство</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связанной с разведением в неволе ценных пушных зверей;</w:t>
            </w:r>
          </w:p>
          <w:p>
            <w:pPr>
              <w:pStyle w:val="ConsPlusNormal1"/>
              <w:jc w:val="both"/>
              <w:rPr/>
            </w:pPr>
            <w:r>
              <w:rPr/>
              <w:t>размещение зданий, сооружений, используемых для содержания и разведения животных, производства, хранения и первичной переработки продукции;</w:t>
            </w:r>
          </w:p>
          <w:p>
            <w:pPr>
              <w:pStyle w:val="ConsPlusNormal1"/>
              <w:jc w:val="both"/>
              <w:rPr/>
            </w:pPr>
            <w:r>
              <w:rPr/>
              <w:t>разведение племенных животных, производство и использование племенной продукции (материала)</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1.9</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Птицеводство</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связанной с разведением домашних пород птиц, в том числе водоплавающих;</w:t>
            </w:r>
          </w:p>
          <w:p>
            <w:pPr>
              <w:pStyle w:val="ConsPlusNormal1"/>
              <w:jc w:val="both"/>
              <w:rPr/>
            </w:pPr>
            <w:r>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pPr>
              <w:pStyle w:val="ConsPlusNormal1"/>
              <w:jc w:val="both"/>
              <w:rPr/>
            </w:pPr>
            <w:r>
              <w:rPr/>
              <w:t>разведение племенных животных, производство и использование племенной продукции (материала)</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1.10</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Свиноводство</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связанной с разведением свиней;</w:t>
            </w:r>
          </w:p>
          <w:p>
            <w:pPr>
              <w:pStyle w:val="ConsPlusNormal1"/>
              <w:jc w:val="both"/>
              <w:rPr/>
            </w:pPr>
            <w:r>
              <w:rPr/>
              <w:t>размещение зданий, сооружений, используемых для содержания и разведения животных, производства, хранения и первичной переработки продукции;</w:t>
            </w:r>
          </w:p>
          <w:p>
            <w:pPr>
              <w:pStyle w:val="ConsPlusNormal1"/>
              <w:jc w:val="both"/>
              <w:rPr/>
            </w:pPr>
            <w:r>
              <w:rPr/>
              <w:t>разведение племенных животных, производство и использование племенной продукции (материала)</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bookmarkStart w:id="148" w:name="P89"/>
            <w:bookmarkEnd w:id="148"/>
            <w:r>
              <w:rPr/>
              <w:t>1.11</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Пчеловодство</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pPr>
              <w:pStyle w:val="ConsPlusNormal1"/>
              <w:jc w:val="both"/>
              <w:rPr/>
            </w:pPr>
            <w:r>
              <w:rPr/>
              <w:t>размещение ульев, иных объектов и оборудования, необходимого для пчеловодства и разведениях иных полезных насекомых;</w:t>
            </w:r>
          </w:p>
          <w:p>
            <w:pPr>
              <w:pStyle w:val="ConsPlusNormal1"/>
              <w:jc w:val="both"/>
              <w:rPr/>
            </w:pPr>
            <w:r>
              <w:rPr/>
              <w:t>размещение сооружений, используемых для хранения и первичной переработки продукции пчеловодства</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1.12</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Рыбоводство</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хозяйственной деятельности, связанной с разведением и (или) содержанием, выращиванием объектов рыбоводства (аквакультуры);</w:t>
            </w:r>
          </w:p>
          <w:p>
            <w:pPr>
              <w:pStyle w:val="ConsPlusNormal1"/>
              <w:jc w:val="both"/>
              <w:rPr/>
            </w:pPr>
            <w:r>
              <w:rPr/>
              <w:t>размещение зданий, сооружений, оборудования, необходимых для осуществления рыбоводства (аквакультуры)</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1.13</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Научное обеспечение сельского хозяйства</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pPr>
              <w:pStyle w:val="ConsPlusNormal1"/>
              <w:jc w:val="both"/>
              <w:rPr/>
            </w:pPr>
            <w:r>
              <w:rPr/>
              <w:t>размещение коллекций генетических ресурсов растений</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1.14</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Хранение и переработка сельскохозяйственной продукции</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1.15</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Ведение личного подсобного хозяйства на полевых участках</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Производство сельскохозяйственной продукции без права возведения объектов капитального строительства</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1.16</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Питомники</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pPr>
              <w:pStyle w:val="ConsPlusNormal1"/>
              <w:jc w:val="both"/>
              <w:rPr/>
            </w:pPr>
            <w:r>
              <w:rPr/>
              <w:t>размещение сооружений, необходимых для указанных видов сельскохозяйственного производства</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1.17</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Обеспечение сельскохозяйственного производства</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bookmarkStart w:id="149" w:name="P115"/>
            <w:bookmarkEnd w:id="149"/>
            <w:r>
              <w:rPr/>
              <w:t>1.18</w:t>
            </w:r>
          </w:p>
        </w:tc>
      </w:tr>
      <w:tr>
        <w:trPr/>
        <w:tc>
          <w:tcPr>
            <w:tcW w:w="28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Жилая застройка</w:t>
            </w:r>
          </w:p>
        </w:tc>
        <w:tc>
          <w:tcPr>
            <w:tcW w:w="6095"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жилых помещений различного вида и обеспечение проживания в них.</w:t>
            </w:r>
          </w:p>
          <w:p>
            <w:pPr>
              <w:pStyle w:val="ConsPlusNormal1"/>
              <w:jc w:val="both"/>
              <w:rPr/>
            </w:pPr>
            <w:r>
              <w:rPr/>
              <w:t>К жилой застройке относятся здания (помещения в них), предназначенные для проживания человека, за исключением зданий (помещений), используемых:</w:t>
            </w:r>
          </w:p>
          <w:p>
            <w:pPr>
              <w:pStyle w:val="ConsPlusNormal1"/>
              <w:jc w:val="both"/>
              <w:rPr/>
            </w:pPr>
            <w:r>
              <w:rPr/>
              <w:t>- с целью извлечения предпринимательской выгоды из предоставления жилого помещения для временного проживания в них (гостиницы, дома отдыха);</w:t>
            </w:r>
          </w:p>
          <w:p>
            <w:pPr>
              <w:pStyle w:val="ConsPlusNormal1"/>
              <w:jc w:val="both"/>
              <w:rPr/>
            </w:pPr>
            <w:r>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pPr>
              <w:pStyle w:val="ConsPlusNormal1"/>
              <w:jc w:val="both"/>
              <w:rPr/>
            </w:pPr>
            <w:r>
              <w:rPr/>
              <w:t>- как способ обеспечения непрерывности производства (вахтовые помещения, служебные жилые помещения на производственных объектах);</w:t>
            </w:r>
          </w:p>
          <w:p>
            <w:pPr>
              <w:pStyle w:val="ConsPlusNormal1"/>
              <w:jc w:val="both"/>
              <w:rPr/>
            </w:pPr>
            <w:r>
              <w:rPr/>
              <w:t>- как способ обеспечения деятельности режимного учреждения (казармы, караульные помещения, места лишения свободы, содержания под стражей).</w:t>
            </w:r>
          </w:p>
          <w:p>
            <w:pPr>
              <w:pStyle w:val="ConsPlusNormal1"/>
              <w:jc w:val="both"/>
              <w:rPr/>
            </w:pPr>
            <w:r>
              <w:rPr/>
              <w:t xml:space="preserve">Содержание данного вида разрешенного использования включает в себя содержание видов разрешенного использования с </w:t>
            </w:r>
            <w:hyperlink w:anchor="P126">
              <w:r>
                <w:rPr>
                  <w:webHidden/>
                  <w:rStyle w:val="Style5"/>
                  <w:vanish/>
                  <w:color w:val="0000FF"/>
                </w:rPr>
                <w:t>кодами 2.1</w:t>
              </w:r>
            </w:hyperlink>
            <w:r>
              <w:rPr/>
              <w:t xml:space="preserve"> - </w:t>
            </w:r>
            <w:hyperlink w:anchor="P174">
              <w:r>
                <w:rPr>
                  <w:webHidden/>
                  <w:rStyle w:val="Style5"/>
                  <w:vanish/>
                  <w:color w:val="0000FF"/>
                </w:rPr>
                <w:t>2.7.1</w:t>
              </w:r>
            </w:hyperlink>
          </w:p>
        </w:tc>
        <w:tc>
          <w:tcPr>
            <w:tcW w:w="1569"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2.0</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7">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bookmarkStart w:id="150" w:name="P126"/>
            <w:bookmarkEnd w:id="150"/>
            <w:r>
              <w:rPr/>
              <w:t>Для индивидуального жилищного строительства</w:t>
            </w:r>
          </w:p>
        </w:tc>
        <w:tc>
          <w:tcPr>
            <w:tcW w:w="6060"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индивидуального жилого дома (дом, пригодный для постоянного проживания, высотой не выше трех надземных этажей);</w:t>
            </w:r>
          </w:p>
          <w:p>
            <w:pPr>
              <w:pStyle w:val="ConsPlusNormal1"/>
              <w:jc w:val="both"/>
              <w:rPr/>
            </w:pPr>
            <w:r>
              <w:rPr/>
              <w:t>выращивание плодовых, ягодных, овощных, бахчевых или иных декоративных или сельскохозяйственных культур;</w:t>
            </w:r>
          </w:p>
          <w:p>
            <w:pPr>
              <w:pStyle w:val="ConsPlusNormal1"/>
              <w:jc w:val="both"/>
              <w:rPr/>
            </w:pPr>
            <w:r>
              <w:rPr/>
              <w:t>размещение индивидуальных гаражей и подсобных сооружений</w:t>
            </w:r>
          </w:p>
        </w:tc>
        <w:tc>
          <w:tcPr>
            <w:tcW w:w="15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2.1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8">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Малоэтажная многоквартирная жилая застройка</w:t>
            </w:r>
          </w:p>
        </w:tc>
        <w:tc>
          <w:tcPr>
            <w:tcW w:w="6060"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малоэтажного многоквартирного жилого дома (дом, пригодный для постоянного проживания, высотой до 4 этажей, включая мансардный);</w:t>
            </w:r>
          </w:p>
          <w:p>
            <w:pPr>
              <w:pStyle w:val="ConsPlusNormal1"/>
              <w:jc w:val="both"/>
              <w:rPr/>
            </w:pPr>
            <w:r>
              <w:rPr/>
              <w:t>разведение декоративных и плодовых деревьев, овощных и ягодных культур;</w:t>
            </w:r>
          </w:p>
          <w:p>
            <w:pPr>
              <w:pStyle w:val="ConsPlusNormal1"/>
              <w:jc w:val="both"/>
              <w:rPr/>
            </w:pPr>
            <w:r>
              <w:rPr/>
              <w:t>размещение индивидуальных гаражей и иных вспомогательных сооружений;</w:t>
            </w:r>
          </w:p>
          <w:p>
            <w:pPr>
              <w:pStyle w:val="ConsPlusNormal1"/>
              <w:jc w:val="both"/>
              <w:rPr/>
            </w:pPr>
            <w:r>
              <w:rPr/>
              <w:t>обустройство спортивных и детских площадок, площадок отдыха;</w:t>
            </w:r>
          </w:p>
          <w:p>
            <w:pPr>
              <w:pStyle w:val="ConsPlusNormal1"/>
              <w:jc w:val="both"/>
              <w:rPr/>
            </w:pPr>
            <w:r>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5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2.1.1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9">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Для ведения личного подсобного хозяйства</w:t>
            </w:r>
          </w:p>
        </w:tc>
        <w:tc>
          <w:tcPr>
            <w:tcW w:w="6060"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pPr>
              <w:pStyle w:val="ConsPlusNormal1"/>
              <w:jc w:val="both"/>
              <w:rPr/>
            </w:pPr>
            <w:r>
              <w:rPr/>
              <w:t>производство сельскохозяйственной продукции;</w:t>
            </w:r>
          </w:p>
          <w:p>
            <w:pPr>
              <w:pStyle w:val="ConsPlusNormal1"/>
              <w:jc w:val="both"/>
              <w:rPr/>
            </w:pPr>
            <w:r>
              <w:rPr/>
              <w:t>размещение гаража и иных вспомогательных сооружений;</w:t>
            </w:r>
          </w:p>
          <w:p>
            <w:pPr>
              <w:pStyle w:val="ConsPlusNormal1"/>
              <w:jc w:val="both"/>
              <w:rPr/>
            </w:pPr>
            <w:r>
              <w:rPr/>
              <w:t>содержание сельскохозяйственных животных</w:t>
            </w:r>
          </w:p>
        </w:tc>
        <w:tc>
          <w:tcPr>
            <w:tcW w:w="15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2.2</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10">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Блокированная жилая застройка</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pPr>
              <w:pStyle w:val="ConsPlusNormal1"/>
              <w:jc w:val="both"/>
              <w:rPr/>
            </w:pPr>
            <w:r>
              <w:rPr/>
              <w:t>разведение декоративных и плодовых деревьев, овощных и ягодных культур;</w:t>
            </w:r>
          </w:p>
          <w:p>
            <w:pPr>
              <w:pStyle w:val="ConsPlusNormal1"/>
              <w:jc w:val="both"/>
              <w:rPr/>
            </w:pPr>
            <w:r>
              <w:rPr/>
              <w:t>размещение индивидуальных гаражей и иных вспомогательных сооружений;</w:t>
            </w:r>
          </w:p>
          <w:p>
            <w:pPr>
              <w:pStyle w:val="ConsPlusNormal1"/>
              <w:jc w:val="both"/>
              <w:rPr/>
            </w:pPr>
            <w:r>
              <w:rPr/>
              <w:t>обустройство спортивных и детских площадок, площадок отдыха</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2.3</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11">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Передвижное жилье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сооружений, пригодных к использованию в качестве жилья (палаточные городки, кемпинги, жилые вагончики, жилые прицепы) с возможностью подключения названных сооружений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2.4</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Среднеэтажная жилая застройка</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pPr>
              <w:pStyle w:val="ConsPlusNormal1"/>
              <w:jc w:val="both"/>
              <w:rPr/>
            </w:pPr>
            <w:r>
              <w:rPr/>
              <w:t>благоустройство и озеленение;</w:t>
            </w:r>
          </w:p>
          <w:p>
            <w:pPr>
              <w:pStyle w:val="ConsPlusNormal1"/>
              <w:jc w:val="both"/>
              <w:rPr/>
            </w:pPr>
            <w:r>
              <w:rPr/>
              <w:t>размещение подземных гаражей и автостоянок;</w:t>
            </w:r>
          </w:p>
          <w:p>
            <w:pPr>
              <w:pStyle w:val="ConsPlusNormal1"/>
              <w:jc w:val="both"/>
              <w:rPr/>
            </w:pPr>
            <w:r>
              <w:rPr/>
              <w:t>обустройство спортивных и детских площадок, площадок отдыха;</w:t>
            </w:r>
          </w:p>
          <w:p>
            <w:pPr>
              <w:pStyle w:val="ConsPlusNormal1"/>
              <w:jc w:val="both"/>
              <w:rPr/>
            </w:pPr>
            <w:r>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2.5</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Многоэтажная жилая застройка (высотная застройка)</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жилых домов, предназначенных для разделения на квартиры, каждая из которых пригодна для постоянного проживания (жилые дома высотой девять и выше этажей, включая подземные, разделенных на двадцать и более квартир);</w:t>
            </w:r>
          </w:p>
          <w:p>
            <w:pPr>
              <w:pStyle w:val="ConsPlusNormal1"/>
              <w:jc w:val="both"/>
              <w:rPr/>
            </w:pPr>
            <w:r>
              <w:rPr/>
              <w:t>благоустройство и озеленение придомовых территорий;</w:t>
            </w:r>
          </w:p>
          <w:p>
            <w:pPr>
              <w:pStyle w:val="ConsPlusNormal1"/>
              <w:jc w:val="both"/>
              <w:rPr/>
            </w:pPr>
            <w:r>
              <w:rPr/>
              <w:t>обустройство спортивных и детских площадок, хозяйственных площадок;</w:t>
            </w:r>
          </w:p>
          <w:p>
            <w:pPr>
              <w:pStyle w:val="ConsPlusNormal1"/>
              <w:jc w:val="both"/>
              <w:rPr/>
            </w:pPr>
            <w:r>
              <w:rPr/>
              <w:t>размещение подземных гаражей и наземных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2.6</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Обслуживание жилой застройки</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Размещение объектов капитального строительства, размещение которых предусмотрено видами разрешенного использования с </w:t>
            </w:r>
            <w:hyperlink w:anchor="P182">
              <w:r>
                <w:rPr>
                  <w:webHidden/>
                  <w:rStyle w:val="Style5"/>
                  <w:vanish/>
                  <w:color w:val="0000FF"/>
                </w:rPr>
                <w:t>кодами 3.1</w:t>
              </w:r>
            </w:hyperlink>
            <w:r>
              <w:rPr/>
              <w:t xml:space="preserve">, </w:t>
            </w:r>
            <w:hyperlink w:anchor="P186">
              <w:r>
                <w:rPr>
                  <w:webHidden/>
                  <w:rStyle w:val="Style5"/>
                  <w:vanish/>
                  <w:color w:val="0000FF"/>
                </w:rPr>
                <w:t>3.2</w:t>
              </w:r>
            </w:hyperlink>
            <w:r>
              <w:rPr/>
              <w:t xml:space="preserve">, </w:t>
            </w:r>
            <w:hyperlink w:anchor="P191">
              <w:r>
                <w:rPr>
                  <w:webHidden/>
                  <w:rStyle w:val="Style5"/>
                  <w:vanish/>
                  <w:color w:val="0000FF"/>
                </w:rPr>
                <w:t>3.3</w:t>
              </w:r>
            </w:hyperlink>
            <w:r>
              <w:rPr/>
              <w:t xml:space="preserve">, </w:t>
            </w:r>
            <w:hyperlink w:anchor="P195">
              <w:r>
                <w:rPr>
                  <w:webHidden/>
                  <w:rStyle w:val="Style5"/>
                  <w:vanish/>
                  <w:color w:val="0000FF"/>
                </w:rPr>
                <w:t>3.4</w:t>
              </w:r>
            </w:hyperlink>
            <w:r>
              <w:rPr/>
              <w:t xml:space="preserve">, </w:t>
            </w:r>
            <w:hyperlink w:anchor="P199">
              <w:r>
                <w:rPr>
                  <w:webHidden/>
                  <w:rStyle w:val="Style5"/>
                  <w:vanish/>
                  <w:color w:val="0000FF"/>
                </w:rPr>
                <w:t>3.4.1</w:t>
              </w:r>
            </w:hyperlink>
            <w:r>
              <w:rPr/>
              <w:t xml:space="preserve">, </w:t>
            </w:r>
            <w:hyperlink w:anchor="P212">
              <w:r>
                <w:rPr>
                  <w:webHidden/>
                  <w:rStyle w:val="Style5"/>
                  <w:vanish/>
                  <w:color w:val="0000FF"/>
                </w:rPr>
                <w:t>3.5.1</w:t>
              </w:r>
            </w:hyperlink>
            <w:r>
              <w:rPr/>
              <w:t xml:space="preserve">, </w:t>
            </w:r>
            <w:hyperlink w:anchor="P220">
              <w:r>
                <w:rPr>
                  <w:webHidden/>
                  <w:rStyle w:val="Style5"/>
                  <w:vanish/>
                  <w:color w:val="0000FF"/>
                </w:rPr>
                <w:t>3.6</w:t>
              </w:r>
            </w:hyperlink>
            <w:r>
              <w:rPr/>
              <w:t xml:space="preserve">, </w:t>
            </w:r>
            <w:hyperlink w:anchor="P226">
              <w:r>
                <w:rPr>
                  <w:webHidden/>
                  <w:rStyle w:val="Style5"/>
                  <w:vanish/>
                  <w:color w:val="0000FF"/>
                </w:rPr>
                <w:t>3.7</w:t>
              </w:r>
            </w:hyperlink>
            <w:r>
              <w:rPr/>
              <w:t xml:space="preserve">, </w:t>
            </w:r>
            <w:hyperlink w:anchor="P247">
              <w:r>
                <w:rPr>
                  <w:webHidden/>
                  <w:rStyle w:val="Style5"/>
                  <w:vanish/>
                  <w:color w:val="0000FF"/>
                </w:rPr>
                <w:t>3.10.1</w:t>
              </w:r>
            </w:hyperlink>
            <w:r>
              <w:rPr/>
              <w:t xml:space="preserve">, </w:t>
            </w:r>
            <w:hyperlink w:anchor="P262">
              <w:r>
                <w:rPr>
                  <w:webHidden/>
                  <w:rStyle w:val="Style5"/>
                  <w:vanish/>
                  <w:color w:val="0000FF"/>
                </w:rPr>
                <w:t>4.1</w:t>
              </w:r>
            </w:hyperlink>
            <w:r>
              <w:rPr/>
              <w:t xml:space="preserve">, </w:t>
            </w:r>
            <w:hyperlink w:anchor="P271">
              <w:r>
                <w:rPr>
                  <w:webHidden/>
                  <w:rStyle w:val="Style5"/>
                  <w:vanish/>
                  <w:color w:val="0000FF"/>
                </w:rPr>
                <w:t>4.3</w:t>
              </w:r>
            </w:hyperlink>
            <w:r>
              <w:rPr/>
              <w:t xml:space="preserve">, </w:t>
            </w:r>
            <w:hyperlink w:anchor="P276">
              <w:r>
                <w:rPr>
                  <w:webHidden/>
                  <w:rStyle w:val="Style5"/>
                  <w:vanish/>
                  <w:color w:val="0000FF"/>
                </w:rPr>
                <w:t>4.4</w:t>
              </w:r>
            </w:hyperlink>
            <w:r>
              <w:rPr/>
              <w:t xml:space="preserve">, </w:t>
            </w:r>
            <w:hyperlink w:anchor="P282">
              <w:r>
                <w:rPr>
                  <w:webHidden/>
                  <w:rStyle w:val="Style5"/>
                  <w:vanish/>
                  <w:color w:val="0000FF"/>
                </w:rPr>
                <w:t>4.6</w:t>
              </w:r>
            </w:hyperlink>
            <w:r>
              <w:rPr/>
              <w:t xml:space="preserve">, </w:t>
            </w:r>
            <w:hyperlink w:anchor="P286">
              <w:r>
                <w:rPr>
                  <w:webHidden/>
                  <w:rStyle w:val="Style5"/>
                  <w:vanish/>
                  <w:color w:val="0000FF"/>
                </w:rPr>
                <w:t>4.7</w:t>
              </w:r>
            </w:hyperlink>
            <w:r>
              <w:rPr/>
              <w:t xml:space="preserve">, </w:t>
            </w:r>
            <w:hyperlink w:anchor="P294">
              <w:r>
                <w:rPr>
                  <w:webHidden/>
                  <w:rStyle w:val="Style5"/>
                  <w:vanish/>
                  <w:color w:val="0000FF"/>
                </w:rPr>
                <w:t>4.9</w:t>
              </w:r>
            </w:hyperlink>
            <w:r>
              <w:rPr/>
              <w:t>,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2.7</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12">
              <w:r>
                <w:rPr>
                  <w:webHidden/>
                  <w:rStyle w:val="Style5"/>
                  <w:vanish/>
                  <w:color w:val="0000FF"/>
                </w:rPr>
                <w:t>Приказа</w:t>
              </w:r>
            </w:hyperlink>
            <w:r>
              <w:rPr/>
              <w:t xml:space="preserve"> Минэкономразвития России от 06.10.2017 N 547)</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51" w:name="P174"/>
            <w:bookmarkEnd w:id="151"/>
            <w:r>
              <w:rPr/>
              <w:t>Объекты гаражного назначения</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2.7.1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13">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Общественное использование объектов капитального строительства</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Размещение объектов капитального строительства в целях обеспечения удовлетворения бытовых, социальных и духовных потребностей человека. Содержание данного вида разрешенного использования включает в себя содержание видов разрешенного использования с </w:t>
            </w:r>
            <w:hyperlink w:anchor="P182">
              <w:r>
                <w:rPr>
                  <w:webHidden/>
                  <w:rStyle w:val="Style5"/>
                  <w:vanish/>
                  <w:color w:val="0000FF"/>
                </w:rPr>
                <w:t>кодами 3.1</w:t>
              </w:r>
            </w:hyperlink>
            <w:r>
              <w:rPr/>
              <w:t xml:space="preserve"> - </w:t>
            </w:r>
            <w:hyperlink w:anchor="P251">
              <w:r>
                <w:rPr>
                  <w:webHidden/>
                  <w:rStyle w:val="Style5"/>
                  <w:vanish/>
                  <w:color w:val="0000FF"/>
                </w:rPr>
                <w:t>3.10.2</w:t>
              </w:r>
            </w:hyperlink>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3.0</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14">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bookmarkStart w:id="152" w:name="P182"/>
            <w:bookmarkEnd w:id="152"/>
            <w:r>
              <w:rPr/>
              <w:t>Коммунальное обслуживание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15">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53" w:name="P186"/>
            <w:bookmarkEnd w:id="153"/>
            <w:r>
              <w:rPr/>
              <w:t>Социальное обслуживание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pPr>
              <w:pStyle w:val="ConsPlusNormal1"/>
              <w:jc w:val="both"/>
              <w:rPr/>
            </w:pPr>
            <w:r>
              <w:rPr/>
              <w:t>размещение объектов капитального строительства для размещения отделений почты и телеграфа;</w:t>
            </w:r>
          </w:p>
          <w:p>
            <w:pPr>
              <w:pStyle w:val="ConsPlusNormal1"/>
              <w:jc w:val="both"/>
              <w:rPr/>
            </w:pPr>
            <w:r>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3.2</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54" w:name="P191"/>
            <w:bookmarkEnd w:id="154"/>
            <w:r>
              <w:rPr/>
              <w:t>Бытовое обслуживание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3.3</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16">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55" w:name="P195"/>
            <w:bookmarkEnd w:id="155"/>
            <w:r>
              <w:rPr/>
              <w:t>Здравоохранение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w:t>
            </w:r>
            <w:hyperlink w:anchor="P199">
              <w:r>
                <w:rPr>
                  <w:webHidden/>
                  <w:rStyle w:val="Style5"/>
                  <w:vanish/>
                  <w:color w:val="0000FF"/>
                </w:rPr>
                <w:t>кодами 3.4.1</w:t>
              </w:r>
            </w:hyperlink>
            <w:r>
              <w:rPr/>
              <w:t xml:space="preserve"> - </w:t>
            </w:r>
            <w:hyperlink w:anchor="P203">
              <w:r>
                <w:rPr>
                  <w:webHidden/>
                  <w:rStyle w:val="Style5"/>
                  <w:vanish/>
                  <w:color w:val="0000FF"/>
                </w:rPr>
                <w:t>3.4.2</w:t>
              </w:r>
            </w:hyperlink>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3.4</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17">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56" w:name="P199"/>
            <w:bookmarkEnd w:id="156"/>
            <w:r>
              <w:rPr/>
              <w:t>Амбулаторно-поликлиническое обслуживание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3.4.1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18">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57" w:name="P203"/>
            <w:bookmarkEnd w:id="157"/>
            <w:r>
              <w:rPr/>
              <w:t>Стационарное медицинское обслуживание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научно-медицинские учреждения и прочие объекты, обеспечивающие оказание услуги по лечению в стационаре);</w:t>
            </w:r>
          </w:p>
          <w:p>
            <w:pPr>
              <w:pStyle w:val="ConsPlusNormal1"/>
              <w:jc w:val="both"/>
              <w:rPr/>
            </w:pPr>
            <w:r>
              <w:rPr/>
              <w:t>размещение станций скорой помощи</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3.4.2</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19">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Образование и просвещение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Размещение объектов капитального строительства, предназначенных для воспитания, образования и просвещения (детские ясли, детские сады, школы, лицеи, гимназии, профессиональные технические училища, колледжи, художественные, музыкальные школы и училища, образовательные кружки,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воспитанию, образованию и просвещению). Содержание данного вида разрешенного использования включает в себя содержание видов разрешенного использования с </w:t>
            </w:r>
            <w:hyperlink w:anchor="P212">
              <w:r>
                <w:rPr>
                  <w:webHidden/>
                  <w:rStyle w:val="Style5"/>
                  <w:vanish/>
                  <w:color w:val="0000FF"/>
                </w:rPr>
                <w:t>кодами 3.5.1</w:t>
              </w:r>
            </w:hyperlink>
            <w:r>
              <w:rPr/>
              <w:t xml:space="preserve"> - </w:t>
            </w:r>
            <w:hyperlink w:anchor="P216">
              <w:r>
                <w:rPr>
                  <w:webHidden/>
                  <w:rStyle w:val="Style5"/>
                  <w:vanish/>
                  <w:color w:val="0000FF"/>
                </w:rPr>
                <w:t>3.5.2</w:t>
              </w:r>
            </w:hyperlink>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3.5</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20">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58" w:name="P212"/>
            <w:bookmarkEnd w:id="158"/>
            <w:r>
              <w:rPr/>
              <w:t>Дошкольное, начальное и среднее общее образование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3.5.1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21">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59" w:name="P216"/>
            <w:bookmarkEnd w:id="159"/>
            <w:r>
              <w:rPr/>
              <w:t>Среднее и высшее профессиональное образование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3.5.2</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22">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60" w:name="P220"/>
            <w:bookmarkEnd w:id="160"/>
            <w:r>
              <w:rPr/>
              <w:t>Культурное развитие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p>
          <w:p>
            <w:pPr>
              <w:pStyle w:val="ConsPlusNormal1"/>
              <w:jc w:val="both"/>
              <w:rPr/>
            </w:pPr>
            <w:r>
              <w:rPr/>
              <w:t>устройство площадок для празднеств и гуляний;</w:t>
            </w:r>
          </w:p>
          <w:p>
            <w:pPr>
              <w:pStyle w:val="ConsPlusNormal1"/>
              <w:jc w:val="both"/>
              <w:rPr/>
            </w:pPr>
            <w:r>
              <w:rPr/>
              <w:t>размещение зданий и сооружений для размещения цирков, зверинцев, зоопарков, океанариумов</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3.6</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23">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61" w:name="P226"/>
            <w:bookmarkEnd w:id="161"/>
            <w:r>
              <w:rPr/>
              <w:t>Религиозное использование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pPr>
              <w:pStyle w:val="ConsPlusNormal1"/>
              <w:jc w:val="both"/>
              <w:rPr/>
            </w:pPr>
            <w:r>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3.7</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Общественное управление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pPr>
              <w:pStyle w:val="ConsPlusNormal1"/>
              <w:jc w:val="both"/>
              <w:rPr/>
            </w:pPr>
            <w:r>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pPr>
              <w:pStyle w:val="ConsPlusNormal1"/>
              <w:jc w:val="both"/>
              <w:rPr/>
            </w:pPr>
            <w:r>
              <w:rPr/>
              <w:t>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3.8</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24">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Обеспечение научной деятельности</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Обеспечение деятельности в области гидрометеорологии и смежных с ней областях</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3.9.1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25">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Ветеринарное обслуживание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w:t>
            </w:r>
            <w:hyperlink w:anchor="P247">
              <w:r>
                <w:rPr>
                  <w:webHidden/>
                  <w:rStyle w:val="Style5"/>
                  <w:vanish/>
                  <w:color w:val="0000FF"/>
                </w:rPr>
                <w:t>кодами 3.10.1</w:t>
              </w:r>
            </w:hyperlink>
            <w:r>
              <w:rPr/>
              <w:t xml:space="preserve"> - </w:t>
            </w:r>
            <w:hyperlink w:anchor="P251">
              <w:r>
                <w:rPr>
                  <w:webHidden/>
                  <w:rStyle w:val="Style5"/>
                  <w:vanish/>
                  <w:color w:val="0000FF"/>
                </w:rPr>
                <w:t>3.10.2</w:t>
              </w:r>
            </w:hyperlink>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3.10</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26">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62" w:name="P247"/>
            <w:bookmarkEnd w:id="162"/>
            <w:r>
              <w:rPr/>
              <w:t>Амбулаторное ветеринарное обслуживание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оказания ветеринарных услуг без содержания животных</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3.10.1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27">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63" w:name="P251"/>
            <w:bookmarkEnd w:id="163"/>
            <w:r>
              <w:rPr/>
              <w:t>Приюты для животных</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оказания ветеринарных услуг в стационаре;</w:t>
            </w:r>
          </w:p>
          <w:p>
            <w:pPr>
              <w:pStyle w:val="ConsPlusNormal1"/>
              <w:jc w:val="both"/>
              <w:rPr/>
            </w:pPr>
            <w:r>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pPr>
              <w:pStyle w:val="ConsPlusNormal1"/>
              <w:jc w:val="both"/>
              <w:rPr/>
            </w:pPr>
            <w:r>
              <w:rPr/>
              <w:t>размещение объектов капитального строительства, предназначенных для организации гостиниц для животных</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3.10.2</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28">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Предпринимательство</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pPr>
              <w:pStyle w:val="ConsPlusNormal1"/>
              <w:jc w:val="both"/>
              <w:rPr/>
            </w:pPr>
            <w:r>
              <w:rPr/>
              <w:t xml:space="preserve">Содержание данного вида разрешенного использования включает в себя содержание видов разрешенного использования, предусмотренных </w:t>
            </w:r>
            <w:hyperlink w:anchor="P262">
              <w:r>
                <w:rPr>
                  <w:webHidden/>
                  <w:rStyle w:val="Style5"/>
                  <w:vanish/>
                  <w:color w:val="0000FF"/>
                </w:rPr>
                <w:t>кодами 4.1</w:t>
              </w:r>
            </w:hyperlink>
            <w:r>
              <w:rPr/>
              <w:t xml:space="preserve"> - </w:t>
            </w:r>
            <w:hyperlink w:anchor="P305">
              <w:r>
                <w:rPr>
                  <w:webHidden/>
                  <w:rStyle w:val="Style5"/>
                  <w:vanish/>
                  <w:color w:val="0000FF"/>
                </w:rPr>
                <w:t>4.10</w:t>
              </w:r>
            </w:hyperlink>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4.0</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29">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bookmarkStart w:id="164" w:name="P262"/>
            <w:bookmarkEnd w:id="164"/>
            <w:r>
              <w:rPr/>
              <w:t>Деловое управление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4.1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30">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Объекты торговли (торговые центры, торгово-развлекательные центры (комплексы)</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281">
              <w:r>
                <w:rPr>
                  <w:webHidden/>
                  <w:rStyle w:val="Style5"/>
                  <w:vanish/>
                  <w:color w:val="0000FF"/>
                </w:rPr>
                <w:t>кодами 4.5</w:t>
              </w:r>
            </w:hyperlink>
            <w:r>
              <w:rPr/>
              <w:t xml:space="preserve"> - </w:t>
            </w:r>
            <w:hyperlink w:anchor="P294">
              <w:r>
                <w:rPr>
                  <w:webHidden/>
                  <w:rStyle w:val="Style5"/>
                  <w:vanish/>
                  <w:color w:val="0000FF"/>
                </w:rPr>
                <w:t>4.9</w:t>
              </w:r>
            </w:hyperlink>
            <w:r>
              <w:rPr/>
              <w:t>;</w:t>
            </w:r>
          </w:p>
          <w:p>
            <w:pPr>
              <w:pStyle w:val="ConsPlusNormal1"/>
              <w:jc w:val="both"/>
              <w:rPr/>
            </w:pPr>
            <w:r>
              <w:rPr/>
              <w:t>размещение гаражей и (или) стоянок для автомобилей сотрудников и посетителей торгового центра</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4.2</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31">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65" w:name="P271"/>
            <w:bookmarkEnd w:id="165"/>
            <w:r>
              <w:rPr/>
              <w:t>Рынки</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pPr>
              <w:pStyle w:val="ConsPlusNormal1"/>
              <w:jc w:val="both"/>
              <w:rPr/>
            </w:pPr>
            <w:r>
              <w:rPr/>
              <w:t>размещение гаражей и (или) стоянок для автомобилей сотрудников и посетителей рынка</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4.3</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32">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66" w:name="P276"/>
            <w:bookmarkEnd w:id="166"/>
            <w:r>
              <w:rPr/>
              <w:t>Магазины</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4.4</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Банковская и страховая деятельность</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размещения организаций, оказывающих банковские и страховые</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bookmarkStart w:id="167" w:name="P281"/>
            <w:bookmarkEnd w:id="167"/>
            <w:r>
              <w:rPr/>
              <w:t>4.5</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68" w:name="P282"/>
            <w:bookmarkEnd w:id="168"/>
            <w:r>
              <w:rPr/>
              <w:t>Общественное питание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4.6</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33">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69" w:name="P286"/>
            <w:bookmarkEnd w:id="169"/>
            <w:r>
              <w:rPr/>
              <w:t>Гостиничное обслуживание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4.7</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34">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Развлечения</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p>
            <w:pPr>
              <w:pStyle w:val="ConsPlusNormal1"/>
              <w:jc w:val="both"/>
              <w:rPr/>
            </w:pPr>
            <w:r>
              <w:rPr/>
              <w:t>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4.8</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bookmarkStart w:id="170" w:name="P294"/>
            <w:bookmarkEnd w:id="170"/>
            <w:r>
              <w:rPr/>
              <w:t>Обслуживание автотранспорта</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Размещение постоянных или временных гаражей с несколькими стояночными местами, стоянок (парковок), гаражей, в том числе многоярусных, не указанных в </w:t>
            </w:r>
            <w:hyperlink w:anchor="P174">
              <w:r>
                <w:rPr>
                  <w:webHidden/>
                  <w:rStyle w:val="Style5"/>
                  <w:vanish/>
                  <w:color w:val="0000FF"/>
                </w:rPr>
                <w:t>коде 2.7.1</w:t>
              </w:r>
            </w:hyperlink>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4.9</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35">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Объекты придорожного сервиса</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автозаправочных станций (бензиновых, газовых);</w:t>
            </w:r>
          </w:p>
          <w:p>
            <w:pPr>
              <w:pStyle w:val="ConsPlusNormal1"/>
              <w:jc w:val="both"/>
              <w:rPr/>
            </w:pPr>
            <w:r>
              <w:rPr/>
              <w:t>размещение магазинов сопутствующей торговли, зданий для организации общественного питания в качестве объектов придорожного сервиса;</w:t>
            </w:r>
          </w:p>
          <w:p>
            <w:pPr>
              <w:pStyle w:val="ConsPlusNormal1"/>
              <w:jc w:val="both"/>
              <w:rPr/>
            </w:pPr>
            <w:r>
              <w:rPr/>
              <w:t>предоставление гостиничных услуг в качестве придорожного сервиса;</w:t>
            </w:r>
          </w:p>
          <w:p>
            <w:pPr>
              <w:pStyle w:val="ConsPlusNormal1"/>
              <w:jc w:val="both"/>
              <w:rPr/>
            </w:pPr>
            <w:r>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4.9.1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36">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71" w:name="P305"/>
            <w:bookmarkEnd w:id="171"/>
            <w:r>
              <w:rPr/>
              <w:t>Выставочно-ярмарочная деятельность</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4.10</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37">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Отдых (рекреация)</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pPr>
              <w:pStyle w:val="ConsPlusNormal1"/>
              <w:jc w:val="both"/>
              <w:rPr/>
            </w:pPr>
            <w:r>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p>
            <w:pPr>
              <w:pStyle w:val="ConsPlusNormal1"/>
              <w:jc w:val="both"/>
              <w:rPr/>
            </w:pPr>
            <w:r>
              <w:rPr/>
              <w:t xml:space="preserve">Содержание данного вида разрешенного использования включает в себя содержание видов разрешенного использования с </w:t>
            </w:r>
            <w:hyperlink w:anchor="P315">
              <w:r>
                <w:rPr>
                  <w:webHidden/>
                  <w:rStyle w:val="Style5"/>
                  <w:vanish/>
                  <w:color w:val="0000FF"/>
                </w:rPr>
                <w:t>кодами 5.1</w:t>
              </w:r>
            </w:hyperlink>
            <w:r>
              <w:rPr/>
              <w:t xml:space="preserve"> - </w:t>
            </w:r>
            <w:hyperlink w:anchor="P335">
              <w:r>
                <w:rPr>
                  <w:webHidden/>
                  <w:rStyle w:val="Style5"/>
                  <w:vanish/>
                  <w:color w:val="0000FF"/>
                </w:rPr>
                <w:t>5.5</w:t>
              </w:r>
            </w:hyperlink>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5.0</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38">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72" w:name="P315"/>
            <w:bookmarkEnd w:id="172"/>
            <w:r>
              <w:rPr/>
              <w:t>Спорт</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pPr>
              <w:pStyle w:val="ConsPlusNormal1"/>
              <w:jc w:val="both"/>
              <w:rPr/>
            </w:pPr>
            <w:r>
              <w:rPr/>
              <w:t>размещение спортивных баз и лагерей</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5.1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39">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Природно-познавательный туризм</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pPr>
              <w:pStyle w:val="ConsPlusNormal1"/>
              <w:jc w:val="both"/>
              <w:rPr/>
            </w:pPr>
            <w:r>
              <w:rPr/>
              <w:t>осуществление необходимых природоохранных и природовосстановительных мероприятий</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5.2</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Туристическое обслуживание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pPr>
              <w:pStyle w:val="ConsPlusNormal1"/>
              <w:jc w:val="both"/>
              <w:rPr/>
            </w:pPr>
            <w:r>
              <w:rPr/>
              <w:t>размещение детских лагерей</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5.2.1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40">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Охота и рыбалка</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5.3</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Причалы для маломерных судов</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сооружений, предназначенных для причаливания, хранения и обслуживания яхт, катеров, лодок и других маломерных судов</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5.4</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bookmarkStart w:id="173" w:name="P335"/>
            <w:bookmarkEnd w:id="173"/>
            <w:r>
              <w:rPr/>
              <w:t>Поля для гольфа или конных прогулок</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Обустройство мест для игры в гольф или осуществления конных прогулок, в том числе осуществление необходимых земляных работ и вспомогательных сооружений;</w:t>
            </w:r>
          </w:p>
          <w:p>
            <w:pPr>
              <w:pStyle w:val="ConsPlusNormal1"/>
              <w:jc w:val="both"/>
              <w:rPr/>
            </w:pPr>
            <w:r>
              <w:rPr/>
              <w:t>размещение конноспортивных манежей, не предусматривающих устройство трибун</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5.5</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41">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Производственная деятельность</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в целях добычи недр, их переработки, изготовления вещей промышленным способом.</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6.0</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42">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Недропользование</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геологических изысканий;</w:t>
            </w:r>
          </w:p>
          <w:p>
            <w:pPr>
              <w:pStyle w:val="ConsPlusNormal1"/>
              <w:jc w:val="both"/>
              <w:rPr/>
            </w:pPr>
            <w:r>
              <w:rPr/>
              <w:t>добыча недр открытым (карьеры, отвалы) и закрытым (шахты, скважины) способами;</w:t>
            </w:r>
          </w:p>
          <w:p>
            <w:pPr>
              <w:pStyle w:val="ConsPlusNormal1"/>
              <w:jc w:val="both"/>
              <w:rPr/>
            </w:pPr>
            <w:r>
              <w:rPr/>
              <w:t>размещение объектов капитального строительства, в том числе подземных, в целях добычи недр;</w:t>
            </w:r>
          </w:p>
          <w:p>
            <w:pPr>
              <w:pStyle w:val="ConsPlusNormal1"/>
              <w:jc w:val="both"/>
              <w:rPr/>
            </w:pPr>
            <w:r>
              <w:rPr/>
              <w:t>размещение объектов капитального строительства, необходимых для подготовки сырья к транспортировке и (или) промышленной переработке;</w:t>
            </w:r>
          </w:p>
          <w:p>
            <w:pPr>
              <w:pStyle w:val="ConsPlusNormal1"/>
              <w:jc w:val="both"/>
              <w:rPr/>
            </w:pPr>
            <w:r>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недр происходит на межселенной территории</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6.1</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Тяжелая промышленность</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6.2</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43">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Автомобилестроительная промышленность</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6.2.1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44">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Легкая промышленность</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текстильной, фарфоро-фаянсовой, электронной промышленности</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6.3</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45">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Фармацевтическая промышленность</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6.3.1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46">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Пищевая промышленность</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6.4</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Нефтехимическая промышленность</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6.5</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Строительная промышленность</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6.6</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Энергетика</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pPr>
              <w:pStyle w:val="ConsPlusNormal1"/>
              <w:jc w:val="both"/>
              <w:rPr/>
            </w:pPr>
            <w:r>
              <w:rPr/>
              <w:t xml:space="preserve">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w:anchor="P182">
              <w:r>
                <w:rPr>
                  <w:webHidden/>
                  <w:rStyle w:val="Style5"/>
                  <w:vanish/>
                  <w:color w:val="0000FF"/>
                </w:rPr>
                <w:t>кодом 3.1</w:t>
              </w:r>
            </w:hyperlink>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6.7</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47">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Атомная энергетика</w:t>
            </w:r>
          </w:p>
        </w:tc>
        <w:tc>
          <w:tcPr>
            <w:tcW w:w="603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использования атомной энергии, в том числе атомных станций, ядерных установок (за исключением создаваемых в научных целях), пунктов хранения ядерных материалов и радиоактивных веществ размещение обслуживающих и вспомогательных для электростанций сооружений;</w:t>
            </w:r>
          </w:p>
          <w:p>
            <w:pPr>
              <w:pStyle w:val="ConsPlusNormal1"/>
              <w:jc w:val="both"/>
              <w:rPr/>
            </w:pPr>
            <w:r>
              <w:rPr/>
              <w:t>размещение объектов электросетевого хозяйства, обслуживающих атомные электростанции</w:t>
            </w:r>
          </w:p>
        </w:tc>
        <w:tc>
          <w:tcPr>
            <w:tcW w:w="15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6.7.1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48">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Связь</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w:t>
            </w:r>
            <w:hyperlink w:anchor="P182">
              <w:r>
                <w:rPr>
                  <w:webHidden/>
                  <w:rStyle w:val="Style5"/>
                  <w:vanish/>
                  <w:color w:val="0000FF"/>
                </w:rPr>
                <w:t>кодом 3.1</w:t>
              </w:r>
            </w:hyperlink>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6.8</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Склады</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Обеспечение космической деятельности</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космодромов, стартовых комплексов и пусковых установок, командно-измерительных комплексов, центров и пунктов управления полетами космических объектов, пунктов приема, хранения и переработки информации, баз хранения космической техники, полигонов приземления космических объектов, объектов экспериментальной базы для отработки космической техники, центров и оборудования для подготовки космонавтов, других сооружений, используемых при осуществлении космической деятельности</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6.10</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Целлюлозно-бумажная промышленность</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6.11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49">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Транспорт</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различного рода путей сообщения и сооружений, используемых для перевозки людей или грузов либо передачи веществ.</w:t>
            </w:r>
          </w:p>
          <w:p>
            <w:pPr>
              <w:pStyle w:val="ConsPlusNormal1"/>
              <w:jc w:val="both"/>
              <w:rPr/>
            </w:pPr>
            <w:r>
              <w:rPr/>
              <w:t xml:space="preserve">Содержание данного вида разрешенного использования включает в себя содержание видов разрешенного использования с </w:t>
            </w:r>
            <w:hyperlink w:anchor="P403">
              <w:r>
                <w:rPr>
                  <w:webHidden/>
                  <w:rStyle w:val="Style5"/>
                  <w:vanish/>
                  <w:color w:val="0000FF"/>
                </w:rPr>
                <w:t>кодами 7.1</w:t>
              </w:r>
            </w:hyperlink>
            <w:r>
              <w:rPr/>
              <w:t xml:space="preserve"> - </w:t>
            </w:r>
            <w:hyperlink w:anchor="P428">
              <w:r>
                <w:rPr>
                  <w:webHidden/>
                  <w:rStyle w:val="Style5"/>
                  <w:vanish/>
                  <w:color w:val="0000FF"/>
                </w:rPr>
                <w:t>7.5</w:t>
              </w:r>
            </w:hyperlink>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7.0</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bookmarkStart w:id="174" w:name="P403"/>
            <w:bookmarkEnd w:id="174"/>
            <w:r>
              <w:rPr/>
              <w:t>Железнодорожный транспорт</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железнодорожных путей;</w:t>
            </w:r>
          </w:p>
          <w:p>
            <w:pPr>
              <w:pStyle w:val="ConsPlusNormal1"/>
              <w:jc w:val="both"/>
              <w:rPr/>
            </w:pPr>
            <w:r>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pPr>
              <w:pStyle w:val="ConsPlusNormal1"/>
              <w:jc w:val="both"/>
              <w:rPr/>
            </w:pPr>
            <w:r>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p>
            <w:pPr>
              <w:pStyle w:val="ConsPlusNormal1"/>
              <w:jc w:val="both"/>
              <w:rPr/>
            </w:pPr>
            <w:r>
              <w:rPr/>
              <w:t>размещение наземных сооружений метрополитена, в том числе посадочных станций, вентиляционных шахт;</w:t>
            </w:r>
          </w:p>
          <w:p>
            <w:pPr>
              <w:pStyle w:val="ConsPlusNormal1"/>
              <w:jc w:val="both"/>
              <w:rPr/>
            </w:pPr>
            <w:r>
              <w:rPr/>
              <w:t>размещение наземных сооружений для трамвайного сообщения и иных специальных дорог (канатных, монорельсовых, фуникулеров)</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7.1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50">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Автомобильный транспорт</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автомобильных дорог и технически связанных с ними сооружений;</w:t>
            </w:r>
          </w:p>
          <w:p>
            <w:pPr>
              <w:pStyle w:val="ConsPlusNormal1"/>
              <w:jc w:val="both"/>
              <w:rPr/>
            </w:pPr>
            <w:r>
              <w:rPr/>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pPr>
              <w:pStyle w:val="ConsPlusNormal1"/>
              <w:jc w:val="both"/>
              <w:rPr/>
            </w:pPr>
            <w:r>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7.2</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51">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Водный транспорт</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7.3</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52">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Воздушный транспорт</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p>
            <w:pPr>
              <w:pStyle w:val="ConsPlusNormal1"/>
              <w:jc w:val="both"/>
              <w:rPr/>
            </w:pPr>
            <w:r>
              <w:rPr/>
              <w:t>размещение объектов, предназначенных для технического обслуживания и ремонта воздушных судов</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7.4</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53">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Трубопроводный транспорт</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bookmarkStart w:id="175" w:name="P428"/>
            <w:bookmarkEnd w:id="175"/>
            <w:r>
              <w:rPr/>
              <w:t>7.5</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Обеспечение обороны и безопасности</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pPr>
              <w:pStyle w:val="ConsPlusNormal1"/>
              <w:jc w:val="both"/>
              <w:rPr/>
            </w:pPr>
            <w:r>
              <w:rPr/>
              <w:t>размещение зданий военных училищ, военных институтов, военных университетов, военных академий;</w:t>
            </w:r>
          </w:p>
          <w:p>
            <w:pPr>
              <w:pStyle w:val="ConsPlusNormal1"/>
              <w:jc w:val="both"/>
              <w:rPr/>
            </w:pPr>
            <w:r>
              <w:rPr/>
              <w:t>размещение объектов, обеспечивающих осуществление таможенной деятельности</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8.0</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54">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Обеспечение вооруженных сил</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pPr>
              <w:pStyle w:val="ConsPlusNormal1"/>
              <w:jc w:val="both"/>
              <w:rPr/>
            </w:pPr>
            <w:r>
              <w:rPr/>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pPr>
              <w:pStyle w:val="ConsPlusNormal1"/>
              <w:jc w:val="both"/>
              <w:rPr/>
            </w:pPr>
            <w:r>
              <w:rPr/>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pPr>
              <w:pStyle w:val="ConsPlusNormal1"/>
              <w:jc w:val="both"/>
              <w:rPr/>
            </w:pPr>
            <w:r>
              <w:rPr/>
              <w:t>размещение объектов, для обеспечения безопасности которых были созданы закрытые административно-территориальные образования</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8.1</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Охрана Государственной границы Российской Федерации</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инженерных сооружений и заграждений, пограничных знаков, коммуникаций и других объектов, необходимых для обеспечения защиты и охраны Государственной границы Российской Федерации, устройство пограничных просек и контрольных полос, размещение зданий для размещения пограничных воинских частей и органов управления ими, а также для размещения пунктов пропуска через Государственную границу Российской Федерации</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8.2</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Обеспечение внутреннего правопорядка</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pPr>
              <w:pStyle w:val="ConsPlusNormal1"/>
              <w:jc w:val="both"/>
              <w:rPr/>
            </w:pPr>
            <w:r>
              <w:rPr/>
              <w:t>размещение объектов гражданской обороны, за исключением объектов гражданской обороны, являющихся частями производственных зданий</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8.3</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Обеспечение деятельности по исполнению наказаний</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капитального строительства для создания мест лишения свободы (следственные изоляторы, тюрьмы, поселения)</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8.4</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Деятельность по особой охране и изучению природы</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9.0</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Охрана природных территорий</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9.1</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Курортная деятельность</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9.2</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Санаторная деятельность</w:t>
            </w:r>
          </w:p>
        </w:tc>
        <w:tc>
          <w:tcPr>
            <w:tcW w:w="617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санаториев и профилакториев, обеспечивающих оказание услуги по лечению и оздоровлению населения;</w:t>
            </w:r>
          </w:p>
          <w:p>
            <w:pPr>
              <w:pStyle w:val="ConsPlusNormal1"/>
              <w:jc w:val="both"/>
              <w:rPr/>
            </w:pPr>
            <w:r>
              <w:rPr/>
              <w:t>обустройство лечебно-оздоровительных местностей (пляжи, бюветы, места добычи целебной грязи);</w:t>
            </w:r>
          </w:p>
          <w:p>
            <w:pPr>
              <w:pStyle w:val="ConsPlusNormal1"/>
              <w:jc w:val="both"/>
              <w:rPr/>
            </w:pPr>
            <w:r>
              <w:rPr/>
              <w:t>размещение лечебно-оздоровительных лагерей</w:t>
            </w:r>
          </w:p>
        </w:tc>
        <w:tc>
          <w:tcPr>
            <w:tcW w:w="14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9.2.1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55">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Историко-культурная деятельность</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9.3</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56">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Использование лесов</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Деятельность по заготовке, первичной обработке и вывозу древесины и недревесных лесных ресурсов, охрана и восстановление лесов и иные цели. Содержание данного вида разрешенного использования включает в себя содержание видов разрешенного использования с </w:t>
            </w:r>
            <w:hyperlink w:anchor="P476">
              <w:r>
                <w:rPr>
                  <w:webHidden/>
                  <w:rStyle w:val="Style5"/>
                  <w:vanish/>
                  <w:color w:val="0000FF"/>
                </w:rPr>
                <w:t>кодами 10.1</w:t>
              </w:r>
            </w:hyperlink>
            <w:r>
              <w:rPr/>
              <w:t xml:space="preserve"> - 10.5</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10.0</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57">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Заготовка древесины</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Рубка лесных насаждений, выросших в природных условиях, в том числе гражданами для собственных нужд, частичная переработка, 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bookmarkStart w:id="176" w:name="P476"/>
            <w:bookmarkEnd w:id="176"/>
            <w:r>
              <w:rPr/>
              <w:t>10.1</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Лесные плантации</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Выращивание и рубка лесных насаждений, выращенных трудом человека, частичная переработка, хранение и вывоз древесины, создание дорог, размещение сооружений, необходимых для обработки и хранения древесины (лесных складов, лесопилен), охрана лесов</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10.2</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Заготовка лесных ресурсов</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Заготовка живицы, сбор недревесных лесных ресурсов, в том числе гражданами для собственных нужд, заготовка пищевых лесных ресурсов и дикорастущих растений, хранение, неглубокая переработка и вывоз добытых лесных ресурсов, размещение временных сооружений, необходимых для хранения и неглубокой переработки лесных ресурсов (сушилки, грибоварни, склады), охрана лесов</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10.3</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Резервные леса</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Деятельность, связанная с охраной лесов</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10.4</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Водные объекты</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Ледники, снежники, ручьи, реки, озера, болота, территориальные моря и другие поверхностные водные объекты</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11.0</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Общее пользование водными объектами</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11.1</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Специальное пользование водными объектами</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11.2</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Гидротехнические сооружения</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11.3</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Земельные участки (территории) общего пользования</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12.0</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58">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Ритуальная деятельность</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кладбищ, крематориев и мест захоронения;</w:t>
            </w:r>
          </w:p>
          <w:p>
            <w:pPr>
              <w:pStyle w:val="ConsPlusNormal1"/>
              <w:jc w:val="both"/>
              <w:rPr/>
            </w:pPr>
            <w:r>
              <w:rPr/>
              <w:t>размещение соответствующих культовых сооружений</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12.1</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rPr/>
            </w:pPr>
            <w:r>
              <w:rPr/>
              <w:t>Специальная деятельность</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12.2</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 ред. </w:t>
            </w:r>
            <w:hyperlink r:id="rId59">
              <w:r>
                <w:rPr>
                  <w:webHidden/>
                  <w:rStyle w:val="Style5"/>
                  <w:vanish/>
                  <w:color w:val="0000FF"/>
                </w:rPr>
                <w:t>Приказа</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Запас</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Отсутствие хозяйственной деятельности</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12.3</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Ведение огородничества</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деятельности, связанной с выращиванием ягодных, овощных, бахчевых или иных сельскохозяйственных культур и картофеля;</w:t>
            </w:r>
          </w:p>
          <w:p>
            <w:pPr>
              <w:pStyle w:val="ConsPlusNormal1"/>
              <w:jc w:val="both"/>
              <w:rPr/>
            </w:pPr>
            <w:r>
              <w:rPr/>
              <w:t>размещение некапитального жилого строения и хозяйственных строений и сооружений, предназначенных для хранения сельскохозяйственных орудий труда и выращенной сельскохозяйственной продукции</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13.1</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60">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Ведение садоводства</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Осуществление деятельности, связанной с выращиванием плодовых, ягодных, овощных, бахчевых или иных сельскохозяйственных культур и картофеля;</w:t>
            </w:r>
          </w:p>
          <w:p>
            <w:pPr>
              <w:pStyle w:val="ConsPlusNormal1"/>
              <w:jc w:val="both"/>
              <w:rPr/>
            </w:pPr>
            <w:r>
              <w:rPr/>
              <w:t>размещение садового дома, предназначенного для отдыха и не подлежащего разделу на квартиры;</w:t>
            </w:r>
          </w:p>
          <w:p>
            <w:pPr>
              <w:pStyle w:val="ConsPlusNormal1"/>
              <w:jc w:val="both"/>
              <w:rPr/>
            </w:pPr>
            <w:r>
              <w:rPr/>
              <w:t>размещение хозяйственных строений и сооружений</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13.2</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61">
              <w:r>
                <w:rPr>
                  <w:webHidden/>
                  <w:rStyle w:val="Style5"/>
                  <w:vanish/>
                  <w:color w:val="0000FF"/>
                </w:rPr>
                <w:t>Приказом</w:t>
              </w:r>
            </w:hyperlink>
            <w:r>
              <w:rPr/>
              <w:t xml:space="preserve"> Минэкономразвития России от 30.09.2015 N 709)</w:t>
            </w:r>
          </w:p>
        </w:tc>
      </w:tr>
      <w:tr>
        <w:trPr/>
        <w:tc>
          <w:tcPr>
            <w:tcW w:w="290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Ведение дачного хозяйства</w:t>
            </w:r>
          </w:p>
        </w:tc>
        <w:tc>
          <w:tcPr>
            <w:tcW w:w="58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Размещение жилого дачного дома (не предназначенного для раздела на квартиры, пригодного для отдыха и проживания, высотой не выше трех надземных этажей);</w:t>
            </w:r>
          </w:p>
          <w:p>
            <w:pPr>
              <w:pStyle w:val="ConsPlusNormal1"/>
              <w:jc w:val="both"/>
              <w:rPr/>
            </w:pPr>
            <w:r>
              <w:rPr/>
              <w:t>осуществление деятельности, связанной с выращиванием плодовых, ягодных, овощных, бахчевых или иных сельскохозяйственных культур и картофеля;</w:t>
            </w:r>
          </w:p>
          <w:p>
            <w:pPr>
              <w:pStyle w:val="ConsPlusNormal1"/>
              <w:jc w:val="both"/>
              <w:rPr/>
            </w:pPr>
            <w:r>
              <w:rPr/>
              <w:t>размещение хозяйственных строений и сооружений</w:t>
            </w:r>
          </w:p>
        </w:tc>
        <w:tc>
          <w:tcPr>
            <w:tcW w:w="1711"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center"/>
              <w:rPr/>
            </w:pPr>
            <w:r>
              <w:rPr/>
              <w:t>13.3</w:t>
            </w:r>
          </w:p>
        </w:tc>
      </w:tr>
      <w:tr>
        <w:trPr/>
        <w:tc>
          <w:tcPr>
            <w:tcW w:w="10500"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42" w:type="dxa"/>
            </w:tcMar>
          </w:tcPr>
          <w:p>
            <w:pPr>
              <w:pStyle w:val="ConsPlusNormal1"/>
              <w:jc w:val="both"/>
              <w:rPr/>
            </w:pPr>
            <w:r>
              <w:rPr/>
              <w:t xml:space="preserve">(введено </w:t>
            </w:r>
            <w:hyperlink r:id="rId62">
              <w:r>
                <w:rPr>
                  <w:webHidden/>
                  <w:rStyle w:val="Style5"/>
                  <w:vanish/>
                  <w:color w:val="0000FF"/>
                </w:rPr>
                <w:t>Приказом</w:t>
              </w:r>
            </w:hyperlink>
            <w:r>
              <w:rPr/>
              <w:t xml:space="preserve"> Минэкономразвития России от 30.09.2015 N 709)</w:t>
            </w:r>
          </w:p>
        </w:tc>
      </w:tr>
    </w:tbl>
    <w:p>
      <w:pPr>
        <w:pStyle w:val="ConsPlusNormal1"/>
        <w:ind w:firstLine="540"/>
        <w:jc w:val="both"/>
        <w:rPr/>
      </w:pPr>
      <w:r>
        <w:rPr/>
      </w:r>
    </w:p>
    <w:p>
      <w:pPr>
        <w:pStyle w:val="ConsPlusNormal1"/>
        <w:ind w:firstLine="540"/>
        <w:jc w:val="both"/>
        <w:rPr/>
      </w:pPr>
      <w:r>
        <w:rPr/>
        <w:t>--------------------------------</w:t>
      </w:r>
    </w:p>
    <w:p>
      <w:pPr>
        <w:pStyle w:val="ConsPlusNormal1"/>
        <w:spacing w:before="220" w:after="200"/>
        <w:ind w:firstLine="540"/>
        <w:jc w:val="both"/>
        <w:rPr/>
      </w:pPr>
      <w:bookmarkStart w:id="177" w:name="P532"/>
      <w:bookmarkEnd w:id="177"/>
      <w:r>
        <w:rPr/>
        <w:t>&lt;1&gt; В скобках указаны иные равнозначные наименования.</w:t>
      </w:r>
    </w:p>
    <w:p>
      <w:pPr>
        <w:pStyle w:val="ConsPlusNormal1"/>
        <w:spacing w:before="220" w:after="200"/>
        <w:ind w:firstLine="540"/>
        <w:jc w:val="both"/>
        <w:rPr/>
      </w:pPr>
      <w:bookmarkStart w:id="178" w:name="P533"/>
      <w:bookmarkEnd w:id="178"/>
      <w:r>
        <w:rPr/>
        <w:t>&lt;2&gt; Содержание видов разрешенного использования, перечисленных в настоящем классификаторе, допускает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если федеральным законом не установлено иное.</w:t>
      </w:r>
    </w:p>
    <w:p>
      <w:pPr>
        <w:pStyle w:val="ConsPlusNormal1"/>
        <w:jc w:val="both"/>
        <w:rPr/>
      </w:pPr>
      <w:r>
        <w:rPr/>
        <w:t xml:space="preserve">(в ред. </w:t>
      </w:r>
      <w:hyperlink r:id="rId63">
        <w:r>
          <w:rPr>
            <w:webHidden/>
            <w:rStyle w:val="Style5"/>
            <w:vanish/>
            <w:color w:val="0000FF"/>
          </w:rPr>
          <w:t>Приказа</w:t>
        </w:r>
      </w:hyperlink>
      <w:r>
        <w:rPr/>
        <w:t xml:space="preserve"> Минэкономразвития России от 30.09.2015 N 709)</w:t>
      </w:r>
    </w:p>
    <w:p>
      <w:pPr>
        <w:pStyle w:val="ConsPlusNormal1"/>
        <w:spacing w:before="220" w:after="200"/>
        <w:ind w:firstLine="540"/>
        <w:jc w:val="both"/>
        <w:rPr/>
      </w:pPr>
      <w:bookmarkStart w:id="179" w:name="P535"/>
      <w:bookmarkEnd w:id="179"/>
      <w:r>
        <w:rPr/>
        <w:t>&lt;3&gt; Текстовое наименование вида разрешенного использования земельного участка и его код (числовое обозначение) являются равнозначными.</w:t>
      </w:r>
    </w:p>
    <w:p>
      <w:pPr>
        <w:pStyle w:val="ConsPlusNormal1"/>
        <w:ind w:firstLine="540"/>
        <w:jc w:val="both"/>
        <w:rPr/>
      </w:pPr>
      <w:r>
        <w:rPr/>
      </w:r>
    </w:p>
    <w:p>
      <w:pPr>
        <w:pStyle w:val="ConsPlusNormal1"/>
        <w:ind w:firstLine="540"/>
        <w:jc w:val="both"/>
        <w:rPr/>
      </w:pPr>
      <w:r>
        <w:rPr/>
      </w:r>
    </w:p>
    <w:p>
      <w:pPr>
        <w:pStyle w:val="ConsPlusNormal1"/>
        <w:pBdr>
          <w:top w:val="single" w:sz="6" w:space="0" w:color="00000A"/>
        </w:pBdr>
        <w:spacing w:before="100" w:after="100"/>
        <w:jc w:val="both"/>
        <w:rPr>
          <w:sz w:val="2"/>
          <w:szCs w:val="2"/>
        </w:rPr>
      </w:pPr>
      <w:r>
        <w:rPr>
          <w:sz w:val="2"/>
          <w:szCs w:val="2"/>
        </w:rPr>
      </w:r>
    </w:p>
    <w:p>
      <w:pPr>
        <w:pStyle w:val="Normal"/>
        <w:widowControl w:val="false"/>
        <w:numPr>
          <w:ilvl w:val="0"/>
          <w:numId w:val="0"/>
        </w:numPr>
        <w:ind w:right="740" w:hanging="0"/>
        <w:jc w:val="left"/>
        <w:outlineLvl w:val="0"/>
        <w:rPr>
          <w:rFonts w:ascii="Times New Roman" w:hAnsi="Times New Roman" w:eastAsia="Times New Roman" w:cs="Times New Roman"/>
          <w:b/>
          <w:b/>
          <w:bCs/>
          <w:sz w:val="20"/>
          <w:szCs w:val="20"/>
          <w:lang w:bidi="ru-RU"/>
        </w:rPr>
      </w:pPr>
      <w:r>
        <w:rPr>
          <w:rFonts w:eastAsia="Times New Roman" w:cs="Times New Roman" w:ascii="Times New Roman" w:hAnsi="Times New Roman"/>
          <w:b/>
          <w:bCs/>
          <w:sz w:val="20"/>
          <w:szCs w:val="20"/>
          <w:lang w:bidi="ru-RU"/>
        </w:rPr>
      </w:r>
    </w:p>
    <w:p>
      <w:pPr>
        <w:pStyle w:val="Normal"/>
        <w:ind w:right="740" w:hanging="0"/>
        <w:rPr>
          <w:rFonts w:ascii="Times New Roman" w:hAnsi="Times New Roman" w:eastAsia="Times New Roman" w:cs="Times New Roman"/>
          <w:color w:val="00000A"/>
        </w:rPr>
      </w:pPr>
      <w:r>
        <w:rPr>
          <w:rFonts w:eastAsia="Times New Roman" w:cs="Times New Roman" w:ascii="Times New Roman" w:hAnsi="Times New Roman"/>
          <w:color w:val="00000A"/>
        </w:rPr>
      </w:r>
    </w:p>
    <w:p>
      <w:pPr>
        <w:pStyle w:val="Normal"/>
        <w:numPr>
          <w:ilvl w:val="0"/>
          <w:numId w:val="0"/>
        </w:numPr>
        <w:ind w:right="740" w:hanging="0"/>
        <w:outlineLvl w:val="1"/>
        <w:rPr/>
      </w:pPr>
      <w:bookmarkStart w:id="180" w:name="_Toc437204396"/>
      <w:bookmarkStart w:id="181" w:name="_Toc437206264"/>
      <w:bookmarkStart w:id="182" w:name="_Toc437333440"/>
      <w:bookmarkStart w:id="183" w:name="_Toc437459535"/>
      <w:bookmarkStart w:id="184" w:name="_Toc467766925"/>
      <w:bookmarkEnd w:id="180"/>
      <w:bookmarkEnd w:id="181"/>
      <w:bookmarkEnd w:id="182"/>
      <w:bookmarkEnd w:id="183"/>
      <w:bookmarkEnd w:id="184"/>
      <w:r>
        <w:rPr>
          <w:rFonts w:eastAsia="Times New Roman" w:cs="Times New Roman" w:ascii="Times New Roman" w:hAnsi="Times New Roman"/>
          <w:b/>
          <w:bCs/>
          <w:color w:val="00000A"/>
          <w:sz w:val="2"/>
          <w:szCs w:val="2"/>
        </w:rPr>
        <w:t>Об утверждении классификатора видов разрешенного использования земельных участков</w:t>
      </w:r>
    </w:p>
    <w:p>
      <w:pPr>
        <w:pStyle w:val="Normal"/>
        <w:widowControl w:val="false"/>
        <w:spacing w:lineRule="exact" w:line="210"/>
        <w:ind w:left="4200" w:right="599" w:hanging="0"/>
        <w:jc w:val="right"/>
        <w:rPr/>
      </w:pPr>
      <w:r>
        <w:rPr>
          <w:rFonts w:eastAsia="Times New Roman" w:cs="Times New Roman" w:ascii="Times New Roman" w:hAnsi="Times New Roman"/>
          <w:b/>
          <w:bCs/>
          <w:sz w:val="21"/>
          <w:szCs w:val="21"/>
          <w:lang w:bidi="ru-RU"/>
        </w:rPr>
        <w:t>Приложение 2</w:t>
      </w:r>
    </w:p>
    <w:p>
      <w:pPr>
        <w:pStyle w:val="Normal"/>
        <w:ind w:right="599" w:hanging="0"/>
        <w:jc w:val="center"/>
        <w:rPr/>
      </w:pPr>
      <w:r>
        <w:rPr>
          <w:rFonts w:cs="Times New Roman" w:ascii="Times New Roman" w:hAnsi="Times New Roman"/>
          <w:b/>
        </w:rPr>
        <w:t>Правила использования земельных участков в границах Всесезонного туристско-рекреационного комплекса «Архыз»</w:t>
      </w:r>
      <w:r>
        <w:rPr>
          <w:rStyle w:val="Style47"/>
          <w:rFonts w:cs="Times New Roman" w:ascii="Times New Roman" w:hAnsi="Times New Roman"/>
          <w:b/>
        </w:rPr>
        <w:footnoteReference w:id="2"/>
      </w:r>
    </w:p>
    <w:p>
      <w:pPr>
        <w:pStyle w:val="Normal"/>
        <w:ind w:right="599" w:hanging="0"/>
        <w:jc w:val="center"/>
        <w:rPr>
          <w:rFonts w:ascii="Times New Roman" w:hAnsi="Times New Roman" w:cs="Times New Roman"/>
          <w:b/>
          <w:b/>
        </w:rPr>
      </w:pPr>
      <w:r>
        <w:rPr>
          <w:rFonts w:cs="Times New Roman" w:ascii="Times New Roman" w:hAnsi="Times New Roman"/>
          <w:b/>
        </w:rPr>
      </w:r>
    </w:p>
    <w:p>
      <w:pPr>
        <w:pStyle w:val="Normal"/>
        <w:numPr>
          <w:ilvl w:val="0"/>
          <w:numId w:val="0"/>
        </w:numPr>
        <w:jc w:val="center"/>
        <w:outlineLvl w:val="0"/>
        <w:rPr/>
      </w:pPr>
      <w:bookmarkStart w:id="185" w:name="_Toc424230626"/>
      <w:bookmarkEnd w:id="185"/>
      <w:r>
        <w:rPr>
          <w:rFonts w:cs="Times New Roman" w:ascii="Times New Roman" w:hAnsi="Times New Roman"/>
          <w:b/>
        </w:rPr>
        <w:t>Содержание</w:t>
      </w:r>
    </w:p>
    <w:sdt>
      <w:sdtPr>
        <w:docPartObj>
          <w:docPartGallery w:val="Table of Contents"/>
          <w:docPartUnique w:val="true"/>
        </w:docPartObj>
        <w:id w:val="1134029494"/>
      </w:sdtPr>
      <w:sdtContent>
        <w:p>
          <w:pPr>
            <w:pStyle w:val="TOCHeading"/>
            <w:numPr>
              <w:ilvl w:val="0"/>
              <w:numId w:val="0"/>
            </w:numPr>
            <w:spacing w:lineRule="auto" w:line="240"/>
            <w:ind w:left="360" w:hanging="360"/>
            <w:jc w:val="both"/>
            <w:rPr/>
          </w:pPr>
          <w:r>
            <w:rPr/>
          </w:r>
        </w:p>
        <w:p>
          <w:pPr>
            <w:pStyle w:val="15"/>
            <w:tabs>
              <w:tab w:val="right" w:pos="9770" w:leader="dot"/>
            </w:tabs>
            <w:jc w:val="both"/>
            <w:rPr/>
          </w:pPr>
          <w:r>
            <w:fldChar w:fldCharType="begin"/>
          </w:r>
          <w:r>
            <w:instrText> TOC \z \o "1-3" \u \h</w:instrText>
          </w:r>
          <w:r>
            <w:fldChar w:fldCharType="separate"/>
          </w:r>
          <w:hyperlink w:anchor="_Toc424230626">
            <w:r>
              <w:rPr>
                <w:webHidden/>
              </w:rPr>
              <w:fldChar w:fldCharType="begin"/>
            </w:r>
            <w:r>
              <w:rPr>
                <w:webHidden/>
              </w:rPr>
              <w:instrText>PAGEREF _Toc424230626 \h</w:instrText>
            </w:r>
            <w:r>
              <w:rPr>
                <w:webHidden/>
              </w:rPr>
              <w:fldChar w:fldCharType="separate"/>
            </w:r>
            <w:r>
              <w:rPr>
                <w:webHidden/>
                <w:rStyle w:val="Style46"/>
                <w:rFonts w:cs="Times New Roman" w:ascii="Times New Roman" w:hAnsi="Times New Roman"/>
                <w:i/>
                <w:vanish w:val="false"/>
              </w:rPr>
              <w:t>Содержание</w:t>
              <w:tab/>
              <w:t>152</w:t>
            </w:r>
            <w:r>
              <w:rPr>
                <w:webHidden/>
              </w:rPr>
              <w:fldChar w:fldCharType="end"/>
            </w:r>
          </w:hyperlink>
        </w:p>
        <w:p>
          <w:pPr>
            <w:pStyle w:val="15"/>
            <w:tabs>
              <w:tab w:val="right" w:pos="9770" w:leader="dot"/>
            </w:tabs>
            <w:jc w:val="both"/>
            <w:rPr/>
          </w:pPr>
          <w:hyperlink w:anchor="_Toc424230627">
            <w:r>
              <w:rPr>
                <w:webHidden/>
              </w:rPr>
              <w:fldChar w:fldCharType="begin"/>
            </w:r>
            <w:r>
              <w:rPr>
                <w:webHidden/>
              </w:rPr>
              <w:instrText>PAGEREF _Toc424230627 \h</w:instrText>
            </w:r>
            <w:r>
              <w:rPr>
                <w:webHidden/>
              </w:rPr>
              <w:fldChar w:fldCharType="separate"/>
            </w:r>
            <w:r>
              <w:rPr>
                <w:webHidden/>
                <w:rStyle w:val="Style46"/>
                <w:rFonts w:cs="Times New Roman" w:ascii="Times New Roman" w:hAnsi="Times New Roman"/>
                <w:i/>
                <w:vanish w:val="false"/>
              </w:rPr>
              <w:t>Часть. 1. Порядок применения Правил использования земельных участков и внесения в них изменений</w:t>
              <w:tab/>
              <w:t>155</w:t>
            </w:r>
            <w:r>
              <w:rPr>
                <w:webHidden/>
              </w:rPr>
              <w:fldChar w:fldCharType="end"/>
            </w:r>
          </w:hyperlink>
        </w:p>
        <w:p>
          <w:pPr>
            <w:pStyle w:val="213"/>
            <w:tabs>
              <w:tab w:val="right" w:pos="9770" w:leader="dot"/>
            </w:tabs>
            <w:jc w:val="both"/>
            <w:rPr/>
          </w:pPr>
          <w:hyperlink w:anchor="_Toc424230628">
            <w:r>
              <w:rPr>
                <w:webHidden/>
              </w:rPr>
              <w:fldChar w:fldCharType="begin"/>
            </w:r>
            <w:r>
              <w:rPr>
                <w:webHidden/>
              </w:rPr>
              <w:instrText>PAGEREF _Toc424230628 \h</w:instrText>
            </w:r>
            <w:r>
              <w:rPr>
                <w:webHidden/>
              </w:rPr>
              <w:fldChar w:fldCharType="separate"/>
            </w:r>
            <w:r>
              <w:rPr>
                <w:webHidden/>
                <w:rStyle w:val="Style46"/>
                <w:rFonts w:cs="Times New Roman" w:ascii="Times New Roman" w:hAnsi="Times New Roman"/>
                <w:i/>
                <w:vanish w:val="false"/>
              </w:rPr>
              <w:t>Глава 1. О регулировании землепользования и застройки</w:t>
              <w:tab/>
              <w:t>155</w:t>
            </w:r>
            <w:r>
              <w:rPr>
                <w:webHidden/>
              </w:rPr>
              <w:fldChar w:fldCharType="end"/>
            </w:r>
          </w:hyperlink>
        </w:p>
        <w:p>
          <w:pPr>
            <w:pStyle w:val="310"/>
            <w:tabs>
              <w:tab w:val="right" w:pos="9770" w:leader="dot"/>
            </w:tabs>
            <w:jc w:val="both"/>
            <w:rPr/>
          </w:pPr>
          <w:hyperlink w:anchor="_Toc424230629">
            <w:r>
              <w:rPr>
                <w:webHidden/>
              </w:rPr>
              <w:fldChar w:fldCharType="begin"/>
            </w:r>
            <w:r>
              <w:rPr>
                <w:webHidden/>
              </w:rPr>
              <w:instrText>PAGEREF _Toc424230629 \h</w:instrText>
            </w:r>
            <w:r>
              <w:rPr>
                <w:webHidden/>
              </w:rPr>
              <w:fldChar w:fldCharType="separate"/>
            </w:r>
            <w:r>
              <w:rPr>
                <w:webHidden/>
                <w:rStyle w:val="Style46"/>
                <w:rFonts w:cs="Times New Roman" w:ascii="Times New Roman" w:hAnsi="Times New Roman"/>
                <w:vanish w:val="false"/>
              </w:rPr>
              <w:t>Статья 1. Основные понятия и термины, используемые в Правилах</w:t>
              <w:tab/>
              <w:t>155</w:t>
            </w:r>
            <w:r>
              <w:rPr>
                <w:webHidden/>
              </w:rPr>
              <w:fldChar w:fldCharType="end"/>
            </w:r>
          </w:hyperlink>
        </w:p>
        <w:p>
          <w:pPr>
            <w:pStyle w:val="310"/>
            <w:tabs>
              <w:tab w:val="right" w:pos="9770" w:leader="dot"/>
            </w:tabs>
            <w:jc w:val="both"/>
            <w:rPr/>
          </w:pPr>
          <w:hyperlink w:anchor="_Toc424230630">
            <w:r>
              <w:rPr>
                <w:webHidden/>
              </w:rPr>
              <w:fldChar w:fldCharType="begin"/>
            </w:r>
            <w:r>
              <w:rPr>
                <w:webHidden/>
              </w:rPr>
              <w:instrText>PAGEREF _Toc424230630 \h</w:instrText>
            </w:r>
            <w:r>
              <w:rPr>
                <w:webHidden/>
              </w:rPr>
              <w:fldChar w:fldCharType="separate"/>
            </w:r>
            <w:r>
              <w:rPr>
                <w:webHidden/>
                <w:rStyle w:val="Style46"/>
                <w:rFonts w:cs="Times New Roman" w:ascii="Times New Roman" w:hAnsi="Times New Roman"/>
                <w:vanish w:val="false"/>
              </w:rPr>
              <w:t>Статья 2. Цели введения и применения Правил</w:t>
              <w:tab/>
              <w:t>157</w:t>
            </w:r>
            <w:r>
              <w:rPr>
                <w:webHidden/>
              </w:rPr>
              <w:fldChar w:fldCharType="end"/>
            </w:r>
          </w:hyperlink>
        </w:p>
        <w:p>
          <w:pPr>
            <w:pStyle w:val="310"/>
            <w:tabs>
              <w:tab w:val="right" w:pos="9770" w:leader="dot"/>
            </w:tabs>
            <w:jc w:val="both"/>
            <w:rPr/>
          </w:pPr>
          <w:hyperlink w:anchor="_Toc424230631">
            <w:r>
              <w:rPr>
                <w:webHidden/>
              </w:rPr>
              <w:fldChar w:fldCharType="begin"/>
            </w:r>
            <w:r>
              <w:rPr>
                <w:webHidden/>
              </w:rPr>
              <w:instrText>PAGEREF _Toc424230631 \h</w:instrText>
            </w:r>
            <w:r>
              <w:rPr>
                <w:webHidden/>
              </w:rPr>
              <w:fldChar w:fldCharType="separate"/>
            </w:r>
            <w:r>
              <w:rPr>
                <w:webHidden/>
                <w:rStyle w:val="Style46"/>
                <w:rFonts w:cs="Times New Roman" w:ascii="Times New Roman" w:hAnsi="Times New Roman"/>
                <w:vanish w:val="false"/>
              </w:rPr>
              <w:t>Статья 3. Положения, относящиеся к ранее возникшим правам</w:t>
              <w:tab/>
              <w:t>158</w:t>
            </w:r>
            <w:r>
              <w:rPr>
                <w:webHidden/>
              </w:rPr>
              <w:fldChar w:fldCharType="end"/>
            </w:r>
          </w:hyperlink>
        </w:p>
        <w:p>
          <w:pPr>
            <w:pStyle w:val="310"/>
            <w:tabs>
              <w:tab w:val="right" w:pos="9770" w:leader="dot"/>
            </w:tabs>
            <w:jc w:val="both"/>
            <w:rPr/>
          </w:pPr>
          <w:hyperlink w:anchor="_Toc424230632">
            <w:r>
              <w:rPr>
                <w:webHidden/>
              </w:rPr>
              <w:fldChar w:fldCharType="begin"/>
            </w:r>
            <w:r>
              <w:rPr>
                <w:webHidden/>
              </w:rPr>
              <w:instrText>PAGEREF _Toc424230632 \h</w:instrText>
            </w:r>
            <w:r>
              <w:rPr>
                <w:webHidden/>
              </w:rPr>
              <w:fldChar w:fldCharType="separate"/>
            </w:r>
            <w:r>
              <w:rPr>
                <w:webHidden/>
                <w:rStyle w:val="Style46"/>
                <w:rFonts w:cs="Times New Roman" w:ascii="Times New Roman" w:hAnsi="Times New Roman"/>
                <w:vanish w:val="false"/>
              </w:rPr>
              <w:t>Статья 4. Градостроительный режим</w:t>
              <w:tab/>
              <w:t>158</w:t>
            </w:r>
            <w:r>
              <w:rPr>
                <w:webHidden/>
              </w:rPr>
              <w:fldChar w:fldCharType="end"/>
            </w:r>
          </w:hyperlink>
        </w:p>
        <w:p>
          <w:pPr>
            <w:pStyle w:val="213"/>
            <w:tabs>
              <w:tab w:val="right" w:pos="9770" w:leader="dot"/>
            </w:tabs>
            <w:jc w:val="both"/>
            <w:rPr/>
          </w:pPr>
          <w:hyperlink w:anchor="_Toc424230633">
            <w:r>
              <w:rPr>
                <w:webHidden/>
              </w:rPr>
              <w:fldChar w:fldCharType="begin"/>
            </w:r>
            <w:r>
              <w:rPr>
                <w:webHidden/>
              </w:rPr>
              <w:instrText>PAGEREF _Toc424230633 \h</w:instrText>
            </w:r>
            <w:r>
              <w:rPr>
                <w:webHidden/>
              </w:rPr>
              <w:fldChar w:fldCharType="separate"/>
            </w:r>
            <w:r>
              <w:rPr>
                <w:webHidden/>
                <w:rStyle w:val="Style46"/>
                <w:rFonts w:cs="Times New Roman" w:ascii="Times New Roman" w:hAnsi="Times New Roman"/>
                <w:i/>
                <w:vanish w:val="false"/>
              </w:rPr>
              <w:t>Глава 2. Об изменении видов разрешенного использования земельных участков и объектов капитального строительства физическими и юридическими лицами</w:t>
              <w:tab/>
              <w:t>160</w:t>
            </w:r>
            <w:r>
              <w:rPr>
                <w:webHidden/>
              </w:rPr>
              <w:fldChar w:fldCharType="end"/>
            </w:r>
          </w:hyperlink>
        </w:p>
        <w:p>
          <w:pPr>
            <w:pStyle w:val="310"/>
            <w:tabs>
              <w:tab w:val="right" w:pos="9770" w:leader="dot"/>
            </w:tabs>
            <w:jc w:val="both"/>
            <w:rPr/>
          </w:pPr>
          <w:hyperlink w:anchor="_Toc424230634">
            <w:r>
              <w:rPr>
                <w:webHidden/>
              </w:rPr>
              <w:fldChar w:fldCharType="begin"/>
            </w:r>
            <w:r>
              <w:rPr>
                <w:webHidden/>
              </w:rPr>
              <w:instrText>PAGEREF _Toc424230634 \h</w:instrText>
            </w:r>
            <w:r>
              <w:rPr>
                <w:webHidden/>
              </w:rPr>
              <w:fldChar w:fldCharType="separate"/>
            </w:r>
            <w:r>
              <w:rPr>
                <w:webHidden/>
                <w:rStyle w:val="Style46"/>
                <w:rFonts w:cs="Times New Roman" w:ascii="Times New Roman" w:hAnsi="Times New Roman"/>
                <w:vanish w:val="false"/>
              </w:rPr>
              <w:t>Статья 5. Виды разрешенного использования земельных участков и объектов капитального строительства</w:t>
              <w:tab/>
              <w:t>160</w:t>
            </w:r>
            <w:r>
              <w:rPr>
                <w:webHidden/>
              </w:rPr>
              <w:fldChar w:fldCharType="end"/>
            </w:r>
          </w:hyperlink>
        </w:p>
        <w:p>
          <w:pPr>
            <w:pStyle w:val="310"/>
            <w:tabs>
              <w:tab w:val="right" w:pos="9770" w:leader="dot"/>
            </w:tabs>
            <w:jc w:val="both"/>
            <w:rPr/>
          </w:pPr>
          <w:hyperlink w:anchor="_Toc424230635">
            <w:r>
              <w:rPr>
                <w:webHidden/>
              </w:rPr>
              <w:fldChar w:fldCharType="begin"/>
            </w:r>
            <w:r>
              <w:rPr>
                <w:webHidden/>
              </w:rPr>
              <w:instrText>PAGEREF _Toc424230635 \h</w:instrText>
            </w:r>
            <w:r>
              <w:rPr>
                <w:webHidden/>
              </w:rPr>
              <w:fldChar w:fldCharType="separate"/>
            </w:r>
            <w:r>
              <w:rPr>
                <w:webHidden/>
                <w:rStyle w:val="Style46"/>
                <w:rFonts w:cs="Times New Roman" w:ascii="Times New Roman" w:hAnsi="Times New Roman"/>
                <w:vanish w:val="false"/>
              </w:rPr>
              <w:t>Статья 6.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tab/>
              <w:t>160</w:t>
            </w:r>
            <w:r>
              <w:rPr>
                <w:webHidden/>
              </w:rPr>
              <w:fldChar w:fldCharType="end"/>
            </w:r>
          </w:hyperlink>
        </w:p>
        <w:p>
          <w:pPr>
            <w:pStyle w:val="310"/>
            <w:tabs>
              <w:tab w:val="right" w:pos="9770" w:leader="dot"/>
            </w:tabs>
            <w:jc w:val="both"/>
            <w:rPr/>
          </w:pPr>
          <w:hyperlink w:anchor="_Toc424230636">
            <w:r>
              <w:rPr>
                <w:webHidden/>
              </w:rPr>
              <w:fldChar w:fldCharType="begin"/>
            </w:r>
            <w:r>
              <w:rPr>
                <w:webHidden/>
              </w:rPr>
              <w:instrText>PAGEREF _Toc424230636 \h</w:instrText>
            </w:r>
            <w:r>
              <w:rPr>
                <w:webHidden/>
              </w:rPr>
              <w:fldChar w:fldCharType="separate"/>
            </w:r>
            <w:r>
              <w:rPr>
                <w:webHidden/>
                <w:rStyle w:val="Style46"/>
                <w:rFonts w:cs="Times New Roman" w:ascii="Times New Roman" w:hAnsi="Times New Roman"/>
                <w:vanish w:val="false"/>
              </w:rPr>
              <w:t>Статья 7. 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режима</w:t>
              <w:tab/>
              <w:t>161</w:t>
            </w:r>
            <w:r>
              <w:rPr>
                <w:webHidden/>
              </w:rPr>
              <w:fldChar w:fldCharType="end"/>
            </w:r>
          </w:hyperlink>
        </w:p>
        <w:p>
          <w:pPr>
            <w:pStyle w:val="213"/>
            <w:tabs>
              <w:tab w:val="right" w:pos="9770" w:leader="dot"/>
            </w:tabs>
            <w:jc w:val="both"/>
            <w:rPr/>
          </w:pPr>
          <w:hyperlink w:anchor="_Toc424230637">
            <w:r>
              <w:rPr>
                <w:webHidden/>
              </w:rPr>
              <w:fldChar w:fldCharType="begin"/>
            </w:r>
            <w:r>
              <w:rPr>
                <w:webHidden/>
              </w:rPr>
              <w:instrText>PAGEREF _Toc424230637 \h</w:instrText>
            </w:r>
            <w:r>
              <w:rPr>
                <w:webHidden/>
              </w:rPr>
              <w:fldChar w:fldCharType="separate"/>
            </w:r>
            <w:r>
              <w:rPr>
                <w:webHidden/>
                <w:rStyle w:val="Style46"/>
                <w:rFonts w:cs="Times New Roman" w:ascii="Times New Roman" w:hAnsi="Times New Roman"/>
                <w:i/>
                <w:vanish w:val="false"/>
              </w:rPr>
              <w:t>Глава 3. О подготовке градостроительных планов земельных участков</w:t>
              <w:tab/>
              <w:t>162</w:t>
            </w:r>
            <w:r>
              <w:rPr>
                <w:webHidden/>
              </w:rPr>
              <w:fldChar w:fldCharType="end"/>
            </w:r>
          </w:hyperlink>
        </w:p>
        <w:p>
          <w:pPr>
            <w:pStyle w:val="310"/>
            <w:tabs>
              <w:tab w:val="right" w:pos="9770" w:leader="dot"/>
            </w:tabs>
            <w:jc w:val="both"/>
            <w:rPr/>
          </w:pPr>
          <w:hyperlink w:anchor="_Toc424230638">
            <w:r>
              <w:rPr>
                <w:webHidden/>
              </w:rPr>
              <w:fldChar w:fldCharType="begin"/>
            </w:r>
            <w:r>
              <w:rPr>
                <w:webHidden/>
              </w:rPr>
              <w:instrText>PAGEREF _Toc424230638 \h</w:instrText>
            </w:r>
            <w:r>
              <w:rPr>
                <w:webHidden/>
              </w:rPr>
              <w:fldChar w:fldCharType="separate"/>
            </w:r>
            <w:r>
              <w:rPr>
                <w:webHidden/>
                <w:rStyle w:val="Style46"/>
                <w:rFonts w:cs="Times New Roman" w:ascii="Times New Roman" w:hAnsi="Times New Roman"/>
                <w:vanish w:val="false"/>
              </w:rPr>
              <w:t>Статья 8. Градостроительные планы земельных участков</w:t>
              <w:tab/>
              <w:t>162</w:t>
            </w:r>
            <w:r>
              <w:rPr>
                <w:webHidden/>
              </w:rPr>
              <w:fldChar w:fldCharType="end"/>
            </w:r>
          </w:hyperlink>
        </w:p>
        <w:p>
          <w:pPr>
            <w:pStyle w:val="213"/>
            <w:tabs>
              <w:tab w:val="right" w:pos="9770" w:leader="dot"/>
            </w:tabs>
            <w:jc w:val="both"/>
            <w:rPr/>
          </w:pPr>
          <w:hyperlink w:anchor="_Toc424230639">
            <w:r>
              <w:rPr>
                <w:webHidden/>
              </w:rPr>
              <w:fldChar w:fldCharType="begin"/>
            </w:r>
            <w:r>
              <w:rPr>
                <w:webHidden/>
              </w:rPr>
              <w:instrText>PAGEREF _Toc424230639 \h</w:instrText>
            </w:r>
            <w:r>
              <w:rPr>
                <w:webHidden/>
              </w:rPr>
              <w:fldChar w:fldCharType="separate"/>
            </w:r>
            <w:r>
              <w:rPr>
                <w:webHidden/>
                <w:rStyle w:val="Style46"/>
                <w:rFonts w:cs="Times New Roman" w:ascii="Times New Roman" w:hAnsi="Times New Roman"/>
                <w:i/>
                <w:vanish w:val="false"/>
              </w:rPr>
              <w:t>Глава 4. О регулировании иных вопросов землепользования и застройки</w:t>
              <w:tab/>
              <w:t>163</w:t>
            </w:r>
            <w:r>
              <w:rPr>
                <w:webHidden/>
              </w:rPr>
              <w:fldChar w:fldCharType="end"/>
            </w:r>
          </w:hyperlink>
        </w:p>
        <w:p>
          <w:pPr>
            <w:pStyle w:val="310"/>
            <w:tabs>
              <w:tab w:val="right" w:pos="9770" w:leader="dot"/>
            </w:tabs>
            <w:jc w:val="both"/>
            <w:rPr/>
          </w:pPr>
          <w:hyperlink w:anchor="_Toc424230640">
            <w:r>
              <w:rPr>
                <w:webHidden/>
              </w:rPr>
              <w:fldChar w:fldCharType="begin"/>
            </w:r>
            <w:r>
              <w:rPr>
                <w:webHidden/>
              </w:rPr>
              <w:instrText>PAGEREF _Toc424230640 \h</w:instrText>
            </w:r>
            <w:r>
              <w:rPr>
                <w:webHidden/>
              </w:rPr>
              <w:fldChar w:fldCharType="separate"/>
            </w:r>
            <w:r>
              <w:rPr>
                <w:webHidden/>
                <w:rStyle w:val="Style46"/>
                <w:rFonts w:cs="Times New Roman" w:ascii="Times New Roman" w:hAnsi="Times New Roman"/>
                <w:vanish w:val="false"/>
              </w:rPr>
              <w:t>Статья 9. Контроль за использованием объектов недвижимости</w:t>
              <w:tab/>
              <w:t>163</w:t>
            </w:r>
            <w:r>
              <w:rPr>
                <w:webHidden/>
              </w:rPr>
              <w:fldChar w:fldCharType="end"/>
            </w:r>
          </w:hyperlink>
        </w:p>
        <w:p>
          <w:pPr>
            <w:pStyle w:val="310"/>
            <w:tabs>
              <w:tab w:val="right" w:pos="9770" w:leader="dot"/>
            </w:tabs>
            <w:jc w:val="both"/>
            <w:rPr/>
          </w:pPr>
          <w:hyperlink w:anchor="_Toc424230641">
            <w:r>
              <w:rPr>
                <w:webHidden/>
              </w:rPr>
              <w:fldChar w:fldCharType="begin"/>
            </w:r>
            <w:r>
              <w:rPr>
                <w:webHidden/>
              </w:rPr>
              <w:instrText>PAGEREF _Toc424230641 \h</w:instrText>
            </w:r>
            <w:r>
              <w:rPr>
                <w:webHidden/>
              </w:rPr>
              <w:fldChar w:fldCharType="separate"/>
            </w:r>
            <w:r>
              <w:rPr>
                <w:webHidden/>
                <w:rStyle w:val="Style46"/>
                <w:rFonts w:cs="Times New Roman" w:ascii="Times New Roman" w:hAnsi="Times New Roman"/>
                <w:vanish w:val="false"/>
              </w:rPr>
              <w:t>Статья 10. Ответственность за нарушение Правил</w:t>
              <w:tab/>
              <w:t>163</w:t>
            </w:r>
            <w:r>
              <w:rPr>
                <w:webHidden/>
              </w:rPr>
              <w:fldChar w:fldCharType="end"/>
            </w:r>
          </w:hyperlink>
        </w:p>
        <w:p>
          <w:pPr>
            <w:pStyle w:val="15"/>
            <w:tabs>
              <w:tab w:val="right" w:pos="9770" w:leader="dot"/>
            </w:tabs>
            <w:jc w:val="both"/>
            <w:rPr/>
          </w:pPr>
          <w:hyperlink w:anchor="_Toc424230642">
            <w:r>
              <w:rPr>
                <w:webHidden/>
              </w:rPr>
              <w:fldChar w:fldCharType="begin"/>
            </w:r>
            <w:r>
              <w:rPr>
                <w:webHidden/>
              </w:rPr>
              <w:instrText>PAGEREF _Toc424230642 \h</w:instrText>
            </w:r>
            <w:r>
              <w:rPr>
                <w:webHidden/>
              </w:rPr>
              <w:fldChar w:fldCharType="separate"/>
            </w:r>
            <w:r>
              <w:rPr>
                <w:webHidden/>
                <w:rStyle w:val="Style46"/>
                <w:rFonts w:cs="Times New Roman" w:ascii="Times New Roman" w:hAnsi="Times New Roman"/>
                <w:i/>
                <w:vanish w:val="false"/>
              </w:rPr>
              <w:t>Часть 2. Регулирование землепользования и застройки на основании градостроительного зонирования</w:t>
              <w:tab/>
              <w:t>164</w:t>
            </w:r>
            <w:r>
              <w:rPr>
                <w:webHidden/>
              </w:rPr>
              <w:fldChar w:fldCharType="end"/>
            </w:r>
          </w:hyperlink>
        </w:p>
        <w:p>
          <w:pPr>
            <w:pStyle w:val="213"/>
            <w:tabs>
              <w:tab w:val="right" w:pos="9770" w:leader="dot"/>
            </w:tabs>
            <w:jc w:val="both"/>
            <w:rPr/>
          </w:pPr>
          <w:hyperlink w:anchor="_Toc424230643">
            <w:r>
              <w:rPr>
                <w:webHidden/>
              </w:rPr>
              <w:fldChar w:fldCharType="begin"/>
            </w:r>
            <w:r>
              <w:rPr>
                <w:webHidden/>
              </w:rPr>
              <w:instrText>PAGEREF _Toc424230643 \h</w:instrText>
            </w:r>
            <w:r>
              <w:rPr>
                <w:webHidden/>
              </w:rPr>
              <w:fldChar w:fldCharType="separate"/>
            </w:r>
            <w:r>
              <w:rPr>
                <w:webHidden/>
                <w:rStyle w:val="Style46"/>
                <w:rFonts w:cs="Times New Roman" w:ascii="Times New Roman" w:hAnsi="Times New Roman"/>
                <w:i/>
                <w:vanish w:val="false"/>
              </w:rPr>
              <w:t>Глава 5. Карта градостроительного зонирования</w:t>
              <w:tab/>
              <w:t>164</w:t>
            </w:r>
            <w:r>
              <w:rPr>
                <w:webHidden/>
              </w:rPr>
              <w:fldChar w:fldCharType="end"/>
            </w:r>
          </w:hyperlink>
        </w:p>
        <w:p>
          <w:pPr>
            <w:pStyle w:val="310"/>
            <w:tabs>
              <w:tab w:val="right" w:pos="9770" w:leader="dot"/>
            </w:tabs>
            <w:jc w:val="both"/>
            <w:rPr/>
          </w:pPr>
          <w:hyperlink w:anchor="_Toc424230644">
            <w:r>
              <w:rPr>
                <w:webHidden/>
              </w:rPr>
              <w:fldChar w:fldCharType="begin"/>
            </w:r>
            <w:r>
              <w:rPr>
                <w:webHidden/>
              </w:rPr>
              <w:instrText>PAGEREF _Toc424230644 \h</w:instrText>
            </w:r>
            <w:r>
              <w:rPr>
                <w:webHidden/>
              </w:rPr>
              <w:fldChar w:fldCharType="separate"/>
            </w:r>
            <w:r>
              <w:rPr>
                <w:webHidden/>
                <w:rStyle w:val="Style46"/>
                <w:rFonts w:cs="Times New Roman" w:ascii="Times New Roman" w:hAnsi="Times New Roman"/>
                <w:vanish w:val="false"/>
              </w:rPr>
              <w:t>Статья 11. Порядок установления границ территориальных зон, зон с особыми условиями использования территорий</w:t>
              <w:tab/>
              <w:t>164</w:t>
            </w:r>
            <w:r>
              <w:rPr>
                <w:webHidden/>
              </w:rPr>
              <w:fldChar w:fldCharType="end"/>
            </w:r>
          </w:hyperlink>
        </w:p>
        <w:p>
          <w:pPr>
            <w:pStyle w:val="310"/>
            <w:tabs>
              <w:tab w:val="right" w:pos="9770" w:leader="dot"/>
            </w:tabs>
            <w:jc w:val="both"/>
            <w:rPr/>
          </w:pPr>
          <w:hyperlink w:anchor="_Toc424230645">
            <w:r>
              <w:rPr>
                <w:webHidden/>
              </w:rPr>
              <w:fldChar w:fldCharType="begin"/>
            </w:r>
            <w:r>
              <w:rPr>
                <w:webHidden/>
              </w:rPr>
              <w:instrText>PAGEREF _Toc424230645 \h</w:instrText>
            </w:r>
            <w:r>
              <w:rPr>
                <w:webHidden/>
              </w:rPr>
              <w:fldChar w:fldCharType="separate"/>
            </w:r>
            <w:r>
              <w:rPr>
                <w:webHidden/>
                <w:rStyle w:val="Style46"/>
                <w:rFonts w:cs="Times New Roman" w:ascii="Times New Roman" w:hAnsi="Times New Roman"/>
                <w:vanish w:val="false"/>
              </w:rPr>
              <w:t>Статья 12. Виды зон и их кодовые обозначения</w:t>
              <w:tab/>
              <w:t>165</w:t>
            </w:r>
            <w:r>
              <w:rPr>
                <w:webHidden/>
              </w:rPr>
              <w:fldChar w:fldCharType="end"/>
            </w:r>
          </w:hyperlink>
        </w:p>
        <w:p>
          <w:pPr>
            <w:pStyle w:val="310"/>
            <w:tabs>
              <w:tab w:val="right" w:pos="9770" w:leader="dot"/>
            </w:tabs>
            <w:jc w:val="both"/>
            <w:rPr/>
          </w:pPr>
          <w:hyperlink w:anchor="_Toc424230646">
            <w:r>
              <w:rPr>
                <w:webHidden/>
              </w:rPr>
              <w:fldChar w:fldCharType="begin"/>
            </w:r>
            <w:r>
              <w:rPr>
                <w:webHidden/>
              </w:rPr>
              <w:instrText>PAGEREF _Toc424230646 \h</w:instrText>
            </w:r>
            <w:r>
              <w:rPr>
                <w:webHidden/>
              </w:rPr>
              <w:fldChar w:fldCharType="separate"/>
            </w:r>
            <w:r>
              <w:rPr>
                <w:webHidden/>
                <w:rStyle w:val="Style46"/>
                <w:rFonts w:cs="Times New Roman" w:ascii="Times New Roman" w:hAnsi="Times New Roman"/>
                <w:vanish w:val="false"/>
              </w:rPr>
              <w:t>Статья 13. Виды разрешенного использования земельных участков</w:t>
              <w:tab/>
              <w:t>166</w:t>
            </w:r>
            <w:r>
              <w:rPr>
                <w:webHidden/>
              </w:rPr>
              <w:fldChar w:fldCharType="end"/>
            </w:r>
          </w:hyperlink>
        </w:p>
        <w:p>
          <w:pPr>
            <w:pStyle w:val="213"/>
            <w:tabs>
              <w:tab w:val="right" w:pos="9770" w:leader="dot"/>
            </w:tabs>
            <w:jc w:val="both"/>
            <w:rPr/>
          </w:pPr>
          <w:hyperlink w:anchor="_Toc424230647">
            <w:r>
              <w:rPr>
                <w:webHidden/>
              </w:rPr>
              <w:fldChar w:fldCharType="begin"/>
            </w:r>
            <w:r>
              <w:rPr>
                <w:webHidden/>
              </w:rPr>
              <w:instrText>PAGEREF _Toc424230647 \h</w:instrText>
            </w:r>
            <w:r>
              <w:rPr>
                <w:webHidden/>
              </w:rPr>
              <w:fldChar w:fldCharType="separate"/>
            </w:r>
            <w:r>
              <w:rPr>
                <w:webHidden/>
                <w:rStyle w:val="Style46"/>
                <w:rFonts w:cs="Times New Roman" w:ascii="Times New Roman" w:hAnsi="Times New Roman"/>
                <w:i/>
                <w:vanish w:val="false"/>
              </w:rPr>
              <w:t>Глава 6. Градостроительные режимы, виды и параметры разрешённого использования земельных участков</w:t>
              <w:tab/>
              <w:t>169</w:t>
            </w:r>
            <w:r>
              <w:rPr>
                <w:webHidden/>
              </w:rPr>
              <w:fldChar w:fldCharType="end"/>
            </w:r>
          </w:hyperlink>
        </w:p>
        <w:p>
          <w:pPr>
            <w:pStyle w:val="310"/>
            <w:tabs>
              <w:tab w:val="right" w:pos="9770" w:leader="dot"/>
            </w:tabs>
            <w:jc w:val="both"/>
            <w:rPr/>
          </w:pPr>
          <w:hyperlink w:anchor="_Toc424230648">
            <w:r>
              <w:rPr>
                <w:webHidden/>
              </w:rPr>
              <w:fldChar w:fldCharType="begin"/>
            </w:r>
            <w:r>
              <w:rPr>
                <w:webHidden/>
              </w:rPr>
              <w:instrText>PAGEREF _Toc424230648 \h</w:instrText>
            </w:r>
            <w:r>
              <w:rPr>
                <w:webHidden/>
              </w:rPr>
              <w:fldChar w:fldCharType="separate"/>
            </w:r>
            <w:r>
              <w:rPr>
                <w:webHidden/>
                <w:rStyle w:val="Style46"/>
                <w:rFonts w:cs="Times New Roman" w:ascii="Times New Roman" w:hAnsi="Times New Roman"/>
                <w:vanish w:val="false"/>
              </w:rPr>
              <w:t>Статья 14. Общественно-деловые зоны</w:t>
              <w:tab/>
              <w:t>170</w:t>
            </w:r>
            <w:r>
              <w:rPr>
                <w:webHidden/>
              </w:rPr>
              <w:fldChar w:fldCharType="end"/>
            </w:r>
          </w:hyperlink>
        </w:p>
        <w:p>
          <w:pPr>
            <w:pStyle w:val="310"/>
            <w:tabs>
              <w:tab w:val="right" w:pos="9770" w:leader="dot"/>
            </w:tabs>
            <w:jc w:val="both"/>
            <w:rPr/>
          </w:pPr>
          <w:hyperlink w:anchor="_Toc424230649">
            <w:r>
              <w:rPr>
                <w:webHidden/>
              </w:rPr>
              <w:fldChar w:fldCharType="begin"/>
            </w:r>
            <w:r>
              <w:rPr>
                <w:webHidden/>
              </w:rPr>
              <w:instrText>PAGEREF _Toc424230649 \h</w:instrText>
            </w:r>
            <w:r>
              <w:rPr>
                <w:webHidden/>
              </w:rPr>
              <w:fldChar w:fldCharType="separate"/>
            </w:r>
            <w:r>
              <w:rPr>
                <w:webHidden/>
                <w:rStyle w:val="Style46"/>
                <w:rFonts w:cs="Times New Roman" w:ascii="Times New Roman" w:hAnsi="Times New Roman"/>
                <w:vanish w:val="false"/>
              </w:rPr>
              <w:t>Статья 15. Зона объектов коттеджного типа</w:t>
              <w:tab/>
              <w:t>170</w:t>
            </w:r>
            <w:r>
              <w:rPr>
                <w:webHidden/>
              </w:rPr>
              <w:fldChar w:fldCharType="end"/>
            </w:r>
          </w:hyperlink>
        </w:p>
        <w:p>
          <w:pPr>
            <w:pStyle w:val="310"/>
            <w:tabs>
              <w:tab w:val="right" w:pos="9770" w:leader="dot"/>
            </w:tabs>
            <w:jc w:val="both"/>
            <w:rPr/>
          </w:pPr>
          <w:hyperlink w:anchor="_Toc424230650">
            <w:r>
              <w:rPr>
                <w:webHidden/>
              </w:rPr>
              <w:fldChar w:fldCharType="begin"/>
            </w:r>
            <w:r>
              <w:rPr>
                <w:webHidden/>
              </w:rPr>
              <w:instrText>PAGEREF _Toc424230650 \h</w:instrText>
            </w:r>
            <w:r>
              <w:rPr>
                <w:webHidden/>
              </w:rPr>
              <w:fldChar w:fldCharType="separate"/>
            </w:r>
            <w:r>
              <w:rPr>
                <w:webHidden/>
                <w:rStyle w:val="Style46"/>
                <w:rFonts w:cs="Times New Roman" w:ascii="Times New Roman" w:hAnsi="Times New Roman"/>
                <w:vanish w:val="false"/>
              </w:rPr>
              <w:t>Статья 16. Зона апарт-отелей и апартаментов</w:t>
              <w:tab/>
              <w:t>171</w:t>
            </w:r>
            <w:r>
              <w:rPr>
                <w:webHidden/>
              </w:rPr>
              <w:fldChar w:fldCharType="end"/>
            </w:r>
          </w:hyperlink>
        </w:p>
        <w:p>
          <w:pPr>
            <w:pStyle w:val="310"/>
            <w:tabs>
              <w:tab w:val="right" w:pos="9770" w:leader="dot"/>
            </w:tabs>
            <w:jc w:val="both"/>
            <w:rPr/>
          </w:pPr>
          <w:hyperlink w:anchor="_Toc424230651">
            <w:r>
              <w:rPr>
                <w:webHidden/>
              </w:rPr>
              <w:fldChar w:fldCharType="begin"/>
            </w:r>
            <w:r>
              <w:rPr>
                <w:webHidden/>
              </w:rPr>
              <w:instrText>PAGEREF _Toc424230651 \h</w:instrText>
            </w:r>
            <w:r>
              <w:rPr>
                <w:webHidden/>
              </w:rPr>
              <w:fldChar w:fldCharType="separate"/>
            </w:r>
            <w:r>
              <w:rPr>
                <w:webHidden/>
                <w:rStyle w:val="Style46"/>
                <w:rFonts w:cs="Times New Roman" w:ascii="Times New Roman" w:hAnsi="Times New Roman"/>
                <w:vanish w:val="false"/>
              </w:rPr>
              <w:t xml:space="preserve">Статья 17. Зона гостиниц, объектов общественного и коммерческого </w:t>
              <w:br/>
              <w:t>назначения</w:t>
              <w:tab/>
              <w:t>172</w:t>
            </w:r>
            <w:r>
              <w:rPr>
                <w:webHidden/>
              </w:rPr>
              <w:fldChar w:fldCharType="end"/>
            </w:r>
          </w:hyperlink>
        </w:p>
        <w:p>
          <w:pPr>
            <w:pStyle w:val="310"/>
            <w:tabs>
              <w:tab w:val="right" w:pos="9770" w:leader="dot"/>
            </w:tabs>
            <w:jc w:val="both"/>
            <w:rPr/>
          </w:pPr>
          <w:hyperlink w:anchor="_Toc424230652">
            <w:r>
              <w:rPr>
                <w:webHidden/>
              </w:rPr>
              <w:fldChar w:fldCharType="begin"/>
            </w:r>
            <w:r>
              <w:rPr>
                <w:webHidden/>
              </w:rPr>
              <w:instrText>PAGEREF _Toc424230652 \h</w:instrText>
            </w:r>
            <w:r>
              <w:rPr>
                <w:webHidden/>
              </w:rPr>
              <w:fldChar w:fldCharType="separate"/>
            </w:r>
            <w:r>
              <w:rPr>
                <w:webHidden/>
                <w:rStyle w:val="Style46"/>
                <w:rFonts w:cs="Times New Roman" w:ascii="Times New Roman" w:hAnsi="Times New Roman"/>
                <w:vanish w:val="false"/>
              </w:rPr>
              <w:t>Статья 18. Зона общежитий для персонала</w:t>
              <w:tab/>
              <w:t>174</w:t>
            </w:r>
            <w:r>
              <w:rPr>
                <w:webHidden/>
              </w:rPr>
              <w:fldChar w:fldCharType="end"/>
            </w:r>
          </w:hyperlink>
        </w:p>
        <w:p>
          <w:pPr>
            <w:pStyle w:val="310"/>
            <w:tabs>
              <w:tab w:val="right" w:pos="9770" w:leader="dot"/>
            </w:tabs>
            <w:jc w:val="both"/>
            <w:rPr/>
          </w:pPr>
          <w:hyperlink w:anchor="_Toc424230653">
            <w:r>
              <w:rPr>
                <w:webHidden/>
              </w:rPr>
              <w:fldChar w:fldCharType="begin"/>
            </w:r>
            <w:r>
              <w:rPr>
                <w:webHidden/>
              </w:rPr>
              <w:instrText>PAGEREF _Toc424230653 \h</w:instrText>
            </w:r>
            <w:r>
              <w:rPr>
                <w:webHidden/>
              </w:rPr>
              <w:fldChar w:fldCharType="separate"/>
            </w:r>
            <w:r>
              <w:rPr>
                <w:webHidden/>
                <w:rStyle w:val="Style46"/>
                <w:rFonts w:cs="Times New Roman" w:ascii="Times New Roman" w:hAnsi="Times New Roman"/>
                <w:vanish w:val="false"/>
              </w:rPr>
              <w:t>Статья 19. Зона объектов горнолыжной инфраструктуры</w:t>
              <w:tab/>
              <w:t>176</w:t>
            </w:r>
            <w:r>
              <w:rPr>
                <w:webHidden/>
              </w:rPr>
              <w:fldChar w:fldCharType="end"/>
            </w:r>
          </w:hyperlink>
        </w:p>
        <w:p>
          <w:pPr>
            <w:pStyle w:val="310"/>
            <w:tabs>
              <w:tab w:val="right" w:pos="9770" w:leader="dot"/>
            </w:tabs>
            <w:jc w:val="both"/>
            <w:rPr/>
          </w:pPr>
          <w:hyperlink w:anchor="_Toc424230654">
            <w:r>
              <w:rPr>
                <w:webHidden/>
              </w:rPr>
              <w:fldChar w:fldCharType="begin"/>
            </w:r>
            <w:r>
              <w:rPr>
                <w:webHidden/>
              </w:rPr>
              <w:instrText>PAGEREF _Toc424230654 \h</w:instrText>
            </w:r>
            <w:r>
              <w:rPr>
                <w:webHidden/>
              </w:rPr>
              <w:fldChar w:fldCharType="separate"/>
            </w:r>
            <w:r>
              <w:rPr>
                <w:webHidden/>
                <w:rStyle w:val="Style46"/>
                <w:rFonts w:cs="Times New Roman" w:ascii="Times New Roman" w:hAnsi="Times New Roman"/>
                <w:vanish w:val="false"/>
              </w:rPr>
              <w:t>Статья 20. Многофункциональная зона</w:t>
              <w:tab/>
              <w:t>177</w:t>
            </w:r>
            <w:r>
              <w:rPr>
                <w:webHidden/>
              </w:rPr>
              <w:fldChar w:fldCharType="end"/>
            </w:r>
          </w:hyperlink>
        </w:p>
        <w:p>
          <w:pPr>
            <w:pStyle w:val="310"/>
            <w:tabs>
              <w:tab w:val="right" w:pos="9770" w:leader="dot"/>
            </w:tabs>
            <w:jc w:val="both"/>
            <w:rPr/>
          </w:pPr>
          <w:hyperlink w:anchor="_Toc424230655">
            <w:r>
              <w:rPr>
                <w:webHidden/>
              </w:rPr>
              <w:fldChar w:fldCharType="begin"/>
            </w:r>
            <w:r>
              <w:rPr>
                <w:webHidden/>
              </w:rPr>
              <w:instrText>PAGEREF _Toc424230655 \h</w:instrText>
            </w:r>
            <w:r>
              <w:rPr>
                <w:webHidden/>
              </w:rPr>
              <w:fldChar w:fldCharType="separate"/>
            </w:r>
            <w:r>
              <w:rPr>
                <w:webHidden/>
                <w:rStyle w:val="Style46"/>
                <w:rFonts w:cs="Times New Roman" w:ascii="Times New Roman" w:hAnsi="Times New Roman"/>
                <w:vanish w:val="false"/>
              </w:rPr>
              <w:t>Статья 21. Коммунально-складская зона</w:t>
              <w:tab/>
              <w:t>178</w:t>
            </w:r>
            <w:r>
              <w:rPr>
                <w:webHidden/>
              </w:rPr>
              <w:fldChar w:fldCharType="end"/>
            </w:r>
          </w:hyperlink>
        </w:p>
        <w:p>
          <w:pPr>
            <w:pStyle w:val="310"/>
            <w:tabs>
              <w:tab w:val="right" w:pos="9770" w:leader="dot"/>
            </w:tabs>
            <w:jc w:val="both"/>
            <w:rPr/>
          </w:pPr>
          <w:hyperlink w:anchor="_Toc424230656">
            <w:r>
              <w:rPr>
                <w:webHidden/>
              </w:rPr>
              <w:fldChar w:fldCharType="begin"/>
            </w:r>
            <w:r>
              <w:rPr>
                <w:webHidden/>
              </w:rPr>
              <w:instrText>PAGEREF _Toc424230656 \h</w:instrText>
            </w:r>
            <w:r>
              <w:rPr>
                <w:webHidden/>
              </w:rPr>
              <w:fldChar w:fldCharType="separate"/>
            </w:r>
            <w:r>
              <w:rPr>
                <w:webHidden/>
                <w:rStyle w:val="Style46"/>
                <w:rFonts w:cs="Times New Roman" w:ascii="Times New Roman" w:hAnsi="Times New Roman"/>
                <w:vanish w:val="false"/>
              </w:rPr>
              <w:t>Статья 22. Зона объектов инженерной инфраструктуры</w:t>
              <w:tab/>
              <w:t>179</w:t>
            </w:r>
            <w:r>
              <w:rPr>
                <w:webHidden/>
              </w:rPr>
              <w:fldChar w:fldCharType="end"/>
            </w:r>
          </w:hyperlink>
        </w:p>
        <w:p>
          <w:pPr>
            <w:pStyle w:val="310"/>
            <w:tabs>
              <w:tab w:val="right" w:pos="9770" w:leader="dot"/>
            </w:tabs>
            <w:jc w:val="both"/>
            <w:rPr/>
          </w:pPr>
          <w:hyperlink w:anchor="_Toc424230657">
            <w:r>
              <w:rPr>
                <w:webHidden/>
              </w:rPr>
              <w:fldChar w:fldCharType="begin"/>
            </w:r>
            <w:r>
              <w:rPr>
                <w:webHidden/>
              </w:rPr>
              <w:instrText>PAGEREF _Toc424230657 \h</w:instrText>
            </w:r>
            <w:r>
              <w:rPr>
                <w:webHidden/>
              </w:rPr>
              <w:fldChar w:fldCharType="separate"/>
            </w:r>
            <w:r>
              <w:rPr>
                <w:webHidden/>
                <w:rStyle w:val="Style46"/>
                <w:rFonts w:cs="Times New Roman" w:ascii="Times New Roman" w:hAnsi="Times New Roman"/>
                <w:vanish w:val="false"/>
              </w:rPr>
              <w:t>Статья 23. Зона объектов транспортной инфраструктуры</w:t>
              <w:tab/>
              <w:t>180</w:t>
            </w:r>
            <w:r>
              <w:rPr>
                <w:webHidden/>
              </w:rPr>
              <w:fldChar w:fldCharType="end"/>
            </w:r>
          </w:hyperlink>
        </w:p>
        <w:p>
          <w:pPr>
            <w:pStyle w:val="310"/>
            <w:tabs>
              <w:tab w:val="right" w:pos="9770" w:leader="dot"/>
            </w:tabs>
            <w:jc w:val="both"/>
            <w:rPr/>
          </w:pPr>
          <w:hyperlink w:anchor="_Toc424230658">
            <w:r>
              <w:rPr>
                <w:webHidden/>
              </w:rPr>
              <w:fldChar w:fldCharType="begin"/>
            </w:r>
            <w:r>
              <w:rPr>
                <w:webHidden/>
              </w:rPr>
              <w:instrText>PAGEREF _Toc424230658 \h</w:instrText>
            </w:r>
            <w:r>
              <w:rPr>
                <w:webHidden/>
              </w:rPr>
              <w:fldChar w:fldCharType="separate"/>
            </w:r>
            <w:r>
              <w:rPr>
                <w:webHidden/>
                <w:rStyle w:val="Style46"/>
                <w:rFonts w:cs="Times New Roman" w:ascii="Times New Roman" w:hAnsi="Times New Roman"/>
                <w:vanish w:val="false"/>
              </w:rPr>
              <w:t>Статья 24. Зоны рекреационного назначения</w:t>
              <w:tab/>
              <w:t>181</w:t>
            </w:r>
            <w:r>
              <w:rPr>
                <w:webHidden/>
              </w:rPr>
              <w:fldChar w:fldCharType="end"/>
            </w:r>
          </w:hyperlink>
        </w:p>
        <w:p>
          <w:pPr>
            <w:pStyle w:val="310"/>
            <w:tabs>
              <w:tab w:val="right" w:pos="9770" w:leader="dot"/>
            </w:tabs>
            <w:jc w:val="both"/>
            <w:rPr/>
          </w:pPr>
          <w:hyperlink w:anchor="_Toc424230659">
            <w:r>
              <w:rPr>
                <w:webHidden/>
              </w:rPr>
              <w:fldChar w:fldCharType="begin"/>
            </w:r>
            <w:r>
              <w:rPr>
                <w:webHidden/>
              </w:rPr>
              <w:instrText>PAGEREF _Toc424230659 \h</w:instrText>
            </w:r>
            <w:r>
              <w:rPr>
                <w:webHidden/>
              </w:rPr>
              <w:fldChar w:fldCharType="separate"/>
            </w:r>
            <w:r>
              <w:rPr>
                <w:webHidden/>
                <w:rStyle w:val="Style46"/>
                <w:rFonts w:cs="Times New Roman" w:ascii="Times New Roman" w:hAnsi="Times New Roman"/>
                <w:vanish w:val="false"/>
              </w:rPr>
              <w:t>Статья 25. Зона озеленённых территорий общего пользования</w:t>
              <w:tab/>
              <w:t>181</w:t>
            </w:r>
            <w:r>
              <w:rPr>
                <w:webHidden/>
              </w:rPr>
              <w:fldChar w:fldCharType="end"/>
            </w:r>
          </w:hyperlink>
        </w:p>
        <w:p>
          <w:pPr>
            <w:pStyle w:val="310"/>
            <w:tabs>
              <w:tab w:val="right" w:pos="9770" w:leader="dot"/>
            </w:tabs>
            <w:jc w:val="both"/>
            <w:rPr/>
          </w:pPr>
          <w:hyperlink w:anchor="_Toc424230660">
            <w:r>
              <w:rPr>
                <w:webHidden/>
              </w:rPr>
              <w:fldChar w:fldCharType="begin"/>
            </w:r>
            <w:r>
              <w:rPr>
                <w:webHidden/>
              </w:rPr>
              <w:instrText>PAGEREF _Toc424230660 \h</w:instrText>
            </w:r>
            <w:r>
              <w:rPr>
                <w:webHidden/>
              </w:rPr>
              <w:fldChar w:fldCharType="separate"/>
            </w:r>
            <w:r>
              <w:rPr>
                <w:webHidden/>
                <w:rStyle w:val="Style46"/>
                <w:rFonts w:cs="Times New Roman" w:ascii="Times New Roman" w:hAnsi="Times New Roman"/>
                <w:vanish w:val="false"/>
              </w:rPr>
              <w:t>Статья 26. Зона естественных природных ландшафтов</w:t>
              <w:tab/>
              <w:t>181</w:t>
            </w:r>
            <w:r>
              <w:rPr>
                <w:webHidden/>
              </w:rPr>
              <w:fldChar w:fldCharType="end"/>
            </w:r>
          </w:hyperlink>
        </w:p>
        <w:p>
          <w:pPr>
            <w:pStyle w:val="310"/>
            <w:tabs>
              <w:tab w:val="right" w:pos="9770" w:leader="dot"/>
            </w:tabs>
            <w:jc w:val="both"/>
            <w:rPr/>
          </w:pPr>
          <w:hyperlink w:anchor="_Toc424230661">
            <w:r>
              <w:rPr>
                <w:webHidden/>
              </w:rPr>
              <w:fldChar w:fldCharType="begin"/>
            </w:r>
            <w:r>
              <w:rPr>
                <w:webHidden/>
              </w:rPr>
              <w:instrText>PAGEREF _Toc424230661 \h</w:instrText>
            </w:r>
            <w:r>
              <w:rPr>
                <w:webHidden/>
              </w:rPr>
              <w:fldChar w:fldCharType="separate"/>
            </w:r>
            <w:r>
              <w:rPr>
                <w:webHidden/>
                <w:rStyle w:val="Style46"/>
                <w:rFonts w:cs="Times New Roman" w:ascii="Times New Roman" w:hAnsi="Times New Roman"/>
                <w:vanish w:val="false"/>
              </w:rPr>
              <w:t>Статья 27. Зона водных объектов</w:t>
              <w:tab/>
              <w:t>182</w:t>
            </w:r>
            <w:r>
              <w:rPr>
                <w:webHidden/>
              </w:rPr>
              <w:fldChar w:fldCharType="end"/>
            </w:r>
          </w:hyperlink>
        </w:p>
        <w:p>
          <w:pPr>
            <w:pStyle w:val="310"/>
            <w:tabs>
              <w:tab w:val="right" w:pos="9770" w:leader="dot"/>
            </w:tabs>
            <w:jc w:val="both"/>
            <w:rPr/>
          </w:pPr>
          <w:hyperlink w:anchor="_Toc424230662">
            <w:r>
              <w:rPr>
                <w:webHidden/>
              </w:rPr>
              <w:fldChar w:fldCharType="begin"/>
            </w:r>
            <w:r>
              <w:rPr>
                <w:webHidden/>
              </w:rPr>
              <w:instrText>PAGEREF _Toc424230662 \h</w:instrText>
            </w:r>
            <w:r>
              <w:rPr>
                <w:webHidden/>
              </w:rPr>
              <w:fldChar w:fldCharType="separate"/>
            </w:r>
            <w:r>
              <w:rPr>
                <w:webHidden/>
                <w:rStyle w:val="Style46"/>
                <w:rFonts w:cs="Times New Roman" w:ascii="Times New Roman" w:hAnsi="Times New Roman"/>
                <w:vanish w:val="false"/>
              </w:rPr>
              <w:t>Статья 28. Зона объектов отдыха и туризма</w:t>
              <w:tab/>
              <w:t>182</w:t>
            </w:r>
            <w:r>
              <w:rPr>
                <w:webHidden/>
              </w:rPr>
              <w:fldChar w:fldCharType="end"/>
            </w:r>
          </w:hyperlink>
        </w:p>
        <w:p>
          <w:pPr>
            <w:pStyle w:val="310"/>
            <w:tabs>
              <w:tab w:val="right" w:pos="9770" w:leader="dot"/>
            </w:tabs>
            <w:jc w:val="both"/>
            <w:rPr/>
          </w:pPr>
          <w:hyperlink w:anchor="_Toc424230663">
            <w:r>
              <w:rPr>
                <w:webHidden/>
              </w:rPr>
              <w:fldChar w:fldCharType="begin"/>
            </w:r>
            <w:r>
              <w:rPr>
                <w:webHidden/>
              </w:rPr>
              <w:instrText>PAGEREF _Toc424230663 \h</w:instrText>
            </w:r>
            <w:r>
              <w:rPr>
                <w:webHidden/>
              </w:rPr>
              <w:fldChar w:fldCharType="separate"/>
            </w:r>
            <w:r>
              <w:rPr>
                <w:webHidden/>
                <w:rStyle w:val="Style46"/>
                <w:rFonts w:cs="Times New Roman" w:ascii="Times New Roman" w:hAnsi="Times New Roman"/>
                <w:vanish w:val="false"/>
              </w:rPr>
              <w:t>Статья 29. Зона режимных объектов</w:t>
              <w:tab/>
              <w:t>183</w:t>
            </w:r>
            <w:r>
              <w:rPr>
                <w:webHidden/>
              </w:rPr>
              <w:fldChar w:fldCharType="end"/>
            </w:r>
          </w:hyperlink>
        </w:p>
        <w:p>
          <w:pPr>
            <w:pStyle w:val="15"/>
            <w:tabs>
              <w:tab w:val="right" w:pos="9770" w:leader="dot"/>
            </w:tabs>
            <w:jc w:val="both"/>
            <w:rPr/>
          </w:pPr>
          <w:hyperlink w:anchor="_Toc424230664">
            <w:r>
              <w:rPr>
                <w:webHidden/>
              </w:rPr>
              <w:fldChar w:fldCharType="begin"/>
            </w:r>
            <w:r>
              <w:rPr>
                <w:webHidden/>
              </w:rPr>
              <w:instrText>PAGEREF _Toc424230664 \h</w:instrText>
            </w:r>
            <w:r>
              <w:rPr>
                <w:webHidden/>
              </w:rPr>
              <w:fldChar w:fldCharType="separate"/>
            </w:r>
            <w:r>
              <w:rPr>
                <w:webHidden/>
                <w:rStyle w:val="Style46"/>
                <w:rFonts w:cs="Times New Roman" w:ascii="Times New Roman" w:hAnsi="Times New Roman"/>
                <w:i/>
                <w:vanish w:val="false"/>
              </w:rPr>
              <w:t>Часть 3. Регулирование землепользования и застройки в зонах с особыми условиями использования территорий</w:t>
              <w:tab/>
              <w:t>184</w:t>
            </w:r>
            <w:r>
              <w:rPr>
                <w:webHidden/>
              </w:rPr>
              <w:fldChar w:fldCharType="end"/>
            </w:r>
          </w:hyperlink>
        </w:p>
        <w:p>
          <w:pPr>
            <w:pStyle w:val="213"/>
            <w:tabs>
              <w:tab w:val="right" w:pos="9770" w:leader="dot"/>
            </w:tabs>
            <w:jc w:val="both"/>
            <w:rPr/>
          </w:pPr>
          <w:hyperlink w:anchor="_Toc424230665">
            <w:r>
              <w:rPr>
                <w:webHidden/>
              </w:rPr>
              <w:fldChar w:fldCharType="begin"/>
            </w:r>
            <w:r>
              <w:rPr>
                <w:webHidden/>
              </w:rPr>
              <w:instrText>PAGEREF _Toc424230665 \h</w:instrText>
            </w:r>
            <w:r>
              <w:rPr>
                <w:webHidden/>
              </w:rPr>
              <w:fldChar w:fldCharType="separate"/>
            </w:r>
            <w:r>
              <w:rPr>
                <w:webHidden/>
                <w:rStyle w:val="Style46"/>
                <w:rFonts w:cs="Times New Roman" w:ascii="Times New Roman" w:hAnsi="Times New Roman"/>
                <w:i/>
                <w:vanish w:val="false"/>
              </w:rPr>
              <w:t>Глава 7. Зонирование с учётом особых условий использования территорий</w:t>
              <w:tab/>
              <w:t>184</w:t>
            </w:r>
            <w:r>
              <w:rPr>
                <w:webHidden/>
              </w:rPr>
              <w:fldChar w:fldCharType="end"/>
            </w:r>
          </w:hyperlink>
        </w:p>
        <w:p>
          <w:pPr>
            <w:pStyle w:val="310"/>
            <w:tabs>
              <w:tab w:val="right" w:pos="9770" w:leader="dot"/>
            </w:tabs>
            <w:jc w:val="both"/>
            <w:rPr/>
          </w:pPr>
          <w:hyperlink w:anchor="_Toc424230666">
            <w:r>
              <w:rPr>
                <w:webHidden/>
              </w:rPr>
              <w:fldChar w:fldCharType="begin"/>
            </w:r>
            <w:r>
              <w:rPr>
                <w:webHidden/>
              </w:rPr>
              <w:instrText>PAGEREF _Toc424230666 \h</w:instrText>
            </w:r>
            <w:r>
              <w:rPr>
                <w:webHidden/>
              </w:rPr>
              <w:fldChar w:fldCharType="separate"/>
            </w:r>
            <w:r>
              <w:rPr>
                <w:webHidden/>
                <w:rStyle w:val="Style46"/>
                <w:rFonts w:cs="Times New Roman" w:ascii="Times New Roman" w:hAnsi="Times New Roman"/>
                <w:vanish w:val="false"/>
              </w:rPr>
              <w:t>Статья 30. Зоны с особыми условиями использования территорий (ограничений градостроительной деятельности)</w:t>
              <w:tab/>
              <w:t>184</w:t>
            </w:r>
            <w:r>
              <w:rPr>
                <w:webHidden/>
              </w:rPr>
              <w:fldChar w:fldCharType="end"/>
            </w:r>
          </w:hyperlink>
        </w:p>
        <w:p>
          <w:pPr>
            <w:pStyle w:val="310"/>
            <w:tabs>
              <w:tab w:val="right" w:pos="9770" w:leader="dot"/>
            </w:tabs>
            <w:jc w:val="both"/>
            <w:rPr/>
          </w:pPr>
          <w:hyperlink w:anchor="_Toc424230667">
            <w:r>
              <w:rPr>
                <w:webHidden/>
              </w:rPr>
              <w:fldChar w:fldCharType="begin"/>
            </w:r>
            <w:r>
              <w:rPr>
                <w:webHidden/>
              </w:rPr>
              <w:instrText>PAGEREF _Toc424230667 \h</w:instrText>
            </w:r>
            <w:r>
              <w:rPr>
                <w:webHidden/>
              </w:rPr>
              <w:fldChar w:fldCharType="separate"/>
            </w:r>
            <w:r>
              <w:rPr>
                <w:webHidden/>
                <w:rStyle w:val="Style46"/>
                <w:rFonts w:cs="Times New Roman" w:ascii="Times New Roman" w:hAnsi="Times New Roman"/>
                <w:vanish w:val="false"/>
              </w:rPr>
              <w:t>Статья 31. Состав зон с особыми условиями использования территорий, формируемых санитарными и экологическими требованиями</w:t>
              <w:tab/>
              <w:t>185</w:t>
            </w:r>
            <w:r>
              <w:rPr>
                <w:webHidden/>
              </w:rPr>
              <w:fldChar w:fldCharType="end"/>
            </w:r>
          </w:hyperlink>
        </w:p>
        <w:p>
          <w:pPr>
            <w:pStyle w:val="213"/>
            <w:tabs>
              <w:tab w:val="right" w:pos="9770" w:leader="dot"/>
            </w:tabs>
            <w:jc w:val="both"/>
            <w:rPr/>
          </w:pPr>
          <w:hyperlink w:anchor="_Toc424230668">
            <w:r>
              <w:rPr>
                <w:webHidden/>
              </w:rPr>
              <w:fldChar w:fldCharType="begin"/>
            </w:r>
            <w:r>
              <w:rPr>
                <w:webHidden/>
              </w:rPr>
              <w:instrText>PAGEREF _Toc424230668 \h</w:instrText>
            </w:r>
            <w:r>
              <w:rPr>
                <w:webHidden/>
              </w:rPr>
              <w:fldChar w:fldCharType="separate"/>
            </w:r>
            <w:r>
              <w:rPr>
                <w:webHidden/>
                <w:rStyle w:val="Style46"/>
                <w:rFonts w:cs="Times New Roman" w:ascii="Times New Roman" w:hAnsi="Times New Roman"/>
                <w:i/>
                <w:vanish w:val="false"/>
              </w:rPr>
              <w:t>Глава 8. Градостроительные режимы в зонах с особыми условиями использования территорий</w:t>
              <w:tab/>
              <w:t>191</w:t>
            </w:r>
            <w:r>
              <w:rPr>
                <w:webHidden/>
              </w:rPr>
              <w:fldChar w:fldCharType="end"/>
            </w:r>
          </w:hyperlink>
        </w:p>
        <w:p>
          <w:pPr>
            <w:pStyle w:val="310"/>
            <w:tabs>
              <w:tab w:val="right" w:pos="9770" w:leader="dot"/>
            </w:tabs>
            <w:jc w:val="both"/>
            <w:rPr/>
          </w:pPr>
          <w:hyperlink w:anchor="_Toc424230669">
            <w:r>
              <w:rPr>
                <w:webHidden/>
              </w:rPr>
              <w:fldChar w:fldCharType="begin"/>
            </w:r>
            <w:r>
              <w:rPr>
                <w:webHidden/>
              </w:rPr>
              <w:instrText>PAGEREF _Toc424230669 \h</w:instrText>
            </w:r>
            <w:r>
              <w:rPr>
                <w:webHidden/>
              </w:rPr>
              <w:fldChar w:fldCharType="separate"/>
            </w:r>
            <w:r>
              <w:rPr>
                <w:webHidden/>
                <w:rStyle w:val="Style46"/>
                <w:rFonts w:cs="Times New Roman" w:ascii="Times New Roman" w:hAnsi="Times New Roman"/>
                <w:vanish w:val="false"/>
              </w:rPr>
              <w:t>Статья 32. Градостроительные режимы использования территорий в зонах, формируемых санитарными и экологическими требованиями</w:t>
              <w:tab/>
              <w:t>191</w:t>
            </w:r>
            <w:r>
              <w:rPr>
                <w:webHidden/>
              </w:rPr>
              <w:fldChar w:fldCharType="end"/>
            </w:r>
          </w:hyperlink>
        </w:p>
        <w:p>
          <w:pPr>
            <w:pStyle w:val="310"/>
            <w:tabs>
              <w:tab w:val="right" w:pos="9770" w:leader="dot"/>
            </w:tabs>
            <w:jc w:val="both"/>
            <w:rPr/>
          </w:pPr>
          <w:hyperlink w:anchor="_Toc424230670">
            <w:r>
              <w:rPr>
                <w:webHidden/>
              </w:rPr>
              <w:fldChar w:fldCharType="begin"/>
            </w:r>
            <w:r>
              <w:rPr>
                <w:webHidden/>
              </w:rPr>
              <w:instrText>PAGEREF _Toc424230670 \h</w:instrText>
            </w:r>
            <w:r>
              <w:rPr>
                <w:webHidden/>
              </w:rPr>
              <w:fldChar w:fldCharType="separate"/>
            </w:r>
            <w:r>
              <w:rPr>
                <w:webHidden/>
                <w:rStyle w:val="Style46"/>
                <w:rFonts w:cs="Times New Roman" w:ascii="Times New Roman" w:hAnsi="Times New Roman"/>
                <w:vanish w:val="false"/>
              </w:rPr>
              <w:t>Статья 33. Градостроительные режимы использования территорий в зонах, формируемых требованиями пожарной безопасности</w:t>
              <w:tab/>
              <w:t>203</w:t>
            </w:r>
            <w:r>
              <w:rPr>
                <w:webHidden/>
              </w:rPr>
              <w:fldChar w:fldCharType="end"/>
            </w:r>
          </w:hyperlink>
        </w:p>
        <w:p>
          <w:pPr>
            <w:pStyle w:val="310"/>
            <w:tabs>
              <w:tab w:val="right" w:pos="9770" w:leader="dot"/>
            </w:tabs>
            <w:jc w:val="both"/>
            <w:rPr/>
          </w:pPr>
          <w:hyperlink w:anchor="_Toc424230671">
            <w:r>
              <w:rPr>
                <w:webHidden/>
              </w:rPr>
              <w:fldChar w:fldCharType="begin"/>
            </w:r>
            <w:r>
              <w:rPr>
                <w:webHidden/>
              </w:rPr>
              <w:instrText>PAGEREF _Toc424230671 \h</w:instrText>
            </w:r>
            <w:r>
              <w:rPr>
                <w:webHidden/>
              </w:rPr>
              <w:fldChar w:fldCharType="separate"/>
            </w:r>
            <w:r>
              <w:rPr>
                <w:webHidden/>
                <w:rStyle w:val="Style46"/>
                <w:rFonts w:cs="Times New Roman" w:ascii="Times New Roman" w:hAnsi="Times New Roman"/>
                <w:vanish w:val="false"/>
              </w:rPr>
              <w:t>Статья 34. Правовой режим использования земельных участков в границах территории объекта археологического наследия</w:t>
              <w:tab/>
              <w:t>204</w:t>
            </w:r>
            <w:r>
              <w:rPr>
                <w:webHidden/>
              </w:rPr>
              <w:fldChar w:fldCharType="end"/>
            </w:r>
          </w:hyperlink>
        </w:p>
        <w:p>
          <w:pPr>
            <w:pStyle w:val="15"/>
            <w:tabs>
              <w:tab w:val="right" w:pos="9770" w:leader="dot"/>
            </w:tabs>
            <w:jc w:val="both"/>
            <w:rPr/>
          </w:pPr>
          <w:hyperlink w:anchor="_Toc424230672">
            <w:r>
              <w:rPr>
                <w:webHidden/>
              </w:rPr>
              <w:fldChar w:fldCharType="begin"/>
            </w:r>
            <w:r>
              <w:rPr>
                <w:webHidden/>
              </w:rPr>
              <w:instrText>PAGEREF _Toc424230672 \h</w:instrText>
            </w:r>
            <w:r>
              <w:rPr>
                <w:webHidden/>
              </w:rPr>
              <w:fldChar w:fldCharType="separate"/>
            </w:r>
            <w:r>
              <w:rPr>
                <w:webHidden/>
                <w:rStyle w:val="Style46"/>
                <w:rFonts w:cs="Times New Roman" w:ascii="Times New Roman" w:hAnsi="Times New Roman"/>
                <w:i/>
                <w:vanish w:val="false"/>
              </w:rPr>
              <w:t>Часть 4. Нормы и правила благоустройства территории</w:t>
              <w:tab/>
              <w:t>206</w:t>
            </w:r>
            <w:r>
              <w:rPr>
                <w:webHidden/>
              </w:rPr>
              <w:fldChar w:fldCharType="end"/>
            </w:r>
          </w:hyperlink>
        </w:p>
        <w:p>
          <w:pPr>
            <w:pStyle w:val="213"/>
            <w:tabs>
              <w:tab w:val="right" w:pos="9770" w:leader="dot"/>
            </w:tabs>
            <w:jc w:val="both"/>
            <w:rPr/>
          </w:pPr>
          <w:hyperlink w:anchor="_Toc424230673">
            <w:r>
              <w:rPr>
                <w:webHidden/>
              </w:rPr>
              <w:fldChar w:fldCharType="begin"/>
            </w:r>
            <w:r>
              <w:rPr>
                <w:webHidden/>
              </w:rPr>
              <w:instrText>PAGEREF _Toc424230673 \h</w:instrText>
            </w:r>
            <w:r>
              <w:rPr>
                <w:webHidden/>
              </w:rPr>
              <w:fldChar w:fldCharType="separate"/>
            </w:r>
            <w:r>
              <w:rPr>
                <w:webHidden/>
                <w:rStyle w:val="Style46"/>
                <w:rFonts w:cs="Times New Roman" w:ascii="Times New Roman" w:hAnsi="Times New Roman"/>
                <w:i/>
                <w:vanish w:val="false"/>
              </w:rPr>
              <w:t>Глава 9. Благоустройство территории</w:t>
              <w:tab/>
              <w:t>206</w:t>
            </w:r>
            <w:r>
              <w:rPr>
                <w:webHidden/>
              </w:rPr>
              <w:fldChar w:fldCharType="end"/>
            </w:r>
          </w:hyperlink>
        </w:p>
        <w:p>
          <w:pPr>
            <w:pStyle w:val="310"/>
            <w:tabs>
              <w:tab w:val="right" w:pos="9770" w:leader="dot"/>
            </w:tabs>
            <w:jc w:val="both"/>
            <w:rPr/>
          </w:pPr>
          <w:hyperlink w:anchor="_Toc424230674">
            <w:r>
              <w:rPr>
                <w:webHidden/>
                <w:rStyle w:val="Style46"/>
                <w:rFonts w:cs="Times New Roman" w:ascii="Times New Roman" w:hAnsi="Times New Roman"/>
                <w:vanish w:val="false"/>
                <w:lang w:bidi="ru-RU"/>
              </w:rPr>
              <w:t>Статья 35. Общие положения благоустройства территории</w:t>
            </w:r>
            <w:r>
              <w:rPr>
                <w:webHidden/>
              </w:rPr>
              <w:fldChar w:fldCharType="begin"/>
            </w:r>
            <w:r>
              <w:rPr>
                <w:webHidden/>
              </w:rPr>
              <w:instrText>PAGEREF _Toc424230674 \h</w:instrText>
            </w:r>
            <w:r>
              <w:rPr>
                <w:webHidden/>
              </w:rPr>
              <w:fldChar w:fldCharType="separate"/>
            </w:r>
            <w:r>
              <w:rPr>
                <w:rStyle w:val="Style46"/>
                <w:rFonts w:cs="Times New Roman" w:ascii="Times New Roman" w:hAnsi="Times New Roman"/>
                <w:vanish w:val="false"/>
              </w:rPr>
              <w:tab/>
              <w:t>206</w:t>
            </w:r>
            <w:r>
              <w:rPr>
                <w:webHidden/>
              </w:rPr>
              <w:fldChar w:fldCharType="end"/>
            </w:r>
          </w:hyperlink>
        </w:p>
        <w:p>
          <w:pPr>
            <w:pStyle w:val="213"/>
            <w:tabs>
              <w:tab w:val="right" w:pos="9770" w:leader="dot"/>
            </w:tabs>
            <w:jc w:val="both"/>
            <w:rPr/>
          </w:pPr>
          <w:hyperlink w:anchor="_Toc424230675">
            <w:r>
              <w:rPr>
                <w:webHidden/>
              </w:rPr>
              <w:fldChar w:fldCharType="begin"/>
            </w:r>
            <w:r>
              <w:rPr>
                <w:webHidden/>
              </w:rPr>
              <w:instrText>PAGEREF _Toc424230675 \h</w:instrText>
            </w:r>
            <w:r>
              <w:rPr>
                <w:webHidden/>
              </w:rPr>
              <w:fldChar w:fldCharType="separate"/>
            </w:r>
            <w:r>
              <w:rPr>
                <w:webHidden/>
                <w:rStyle w:val="Style46"/>
                <w:rFonts w:cs="Times New Roman" w:ascii="Times New Roman" w:hAnsi="Times New Roman"/>
                <w:i/>
                <w:vanish w:val="false"/>
              </w:rPr>
              <w:t>Глава 10. Элементы благоустройства территории</w:t>
              <w:tab/>
              <w:t>207</w:t>
            </w:r>
            <w:r>
              <w:rPr>
                <w:webHidden/>
              </w:rPr>
              <w:fldChar w:fldCharType="end"/>
            </w:r>
          </w:hyperlink>
        </w:p>
        <w:p>
          <w:pPr>
            <w:pStyle w:val="310"/>
            <w:tabs>
              <w:tab w:val="right" w:pos="9770" w:leader="dot"/>
            </w:tabs>
            <w:jc w:val="both"/>
            <w:rPr/>
          </w:pPr>
          <w:hyperlink w:anchor="_Toc424230676">
            <w:r>
              <w:rPr>
                <w:webHidden/>
              </w:rPr>
              <w:fldChar w:fldCharType="begin"/>
            </w:r>
            <w:r>
              <w:rPr>
                <w:webHidden/>
              </w:rPr>
              <w:instrText>PAGEREF _Toc424230676 \h</w:instrText>
            </w:r>
            <w:r>
              <w:rPr>
                <w:webHidden/>
              </w:rPr>
              <w:fldChar w:fldCharType="separate"/>
            </w:r>
            <w:r>
              <w:rPr>
                <w:webHidden/>
                <w:rStyle w:val="Style46"/>
                <w:rFonts w:cs="Times New Roman" w:ascii="Times New Roman" w:hAnsi="Times New Roman"/>
                <w:vanish w:val="false"/>
              </w:rPr>
              <w:t>Статья 36. Элементы инженерной подготовки и защиты территории</w:t>
              <w:tab/>
              <w:t>207</w:t>
            </w:r>
            <w:r>
              <w:rPr>
                <w:webHidden/>
              </w:rPr>
              <w:fldChar w:fldCharType="end"/>
            </w:r>
          </w:hyperlink>
        </w:p>
        <w:p>
          <w:pPr>
            <w:pStyle w:val="310"/>
            <w:tabs>
              <w:tab w:val="right" w:pos="9770" w:leader="dot"/>
            </w:tabs>
            <w:jc w:val="both"/>
            <w:rPr/>
          </w:pPr>
          <w:hyperlink w:anchor="_Toc424230677">
            <w:r>
              <w:rPr>
                <w:webHidden/>
              </w:rPr>
              <w:fldChar w:fldCharType="begin"/>
            </w:r>
            <w:r>
              <w:rPr>
                <w:webHidden/>
              </w:rPr>
              <w:instrText>PAGEREF _Toc424230677 \h</w:instrText>
            </w:r>
            <w:r>
              <w:rPr>
                <w:webHidden/>
              </w:rPr>
              <w:fldChar w:fldCharType="separate"/>
            </w:r>
            <w:r>
              <w:rPr>
                <w:webHidden/>
                <w:rStyle w:val="Style46"/>
                <w:rFonts w:cs="Times New Roman" w:ascii="Times New Roman" w:hAnsi="Times New Roman"/>
                <w:vanish w:val="false"/>
              </w:rPr>
              <w:t>Статья 37. Озеленение</w:t>
              <w:tab/>
              <w:t>209</w:t>
            </w:r>
            <w:r>
              <w:rPr>
                <w:webHidden/>
              </w:rPr>
              <w:fldChar w:fldCharType="end"/>
            </w:r>
          </w:hyperlink>
        </w:p>
        <w:p>
          <w:pPr>
            <w:pStyle w:val="310"/>
            <w:tabs>
              <w:tab w:val="right" w:pos="9770" w:leader="dot"/>
            </w:tabs>
            <w:jc w:val="both"/>
            <w:rPr/>
          </w:pPr>
          <w:hyperlink w:anchor="_Toc424230678">
            <w:r>
              <w:rPr>
                <w:webHidden/>
              </w:rPr>
              <w:fldChar w:fldCharType="begin"/>
            </w:r>
            <w:r>
              <w:rPr>
                <w:webHidden/>
              </w:rPr>
              <w:instrText>PAGEREF _Toc424230678 \h</w:instrText>
            </w:r>
            <w:r>
              <w:rPr>
                <w:webHidden/>
              </w:rPr>
              <w:fldChar w:fldCharType="separate"/>
            </w:r>
            <w:r>
              <w:rPr>
                <w:webHidden/>
                <w:rStyle w:val="Style46"/>
                <w:rFonts w:cs="Times New Roman" w:ascii="Times New Roman" w:hAnsi="Times New Roman"/>
                <w:vanish w:val="false"/>
              </w:rPr>
              <w:t>Статья 38. Виды покрытий</w:t>
              <w:tab/>
              <w:t>212</w:t>
            </w:r>
            <w:r>
              <w:rPr>
                <w:webHidden/>
              </w:rPr>
              <w:fldChar w:fldCharType="end"/>
            </w:r>
          </w:hyperlink>
        </w:p>
        <w:p>
          <w:pPr>
            <w:pStyle w:val="310"/>
            <w:tabs>
              <w:tab w:val="right" w:pos="9770" w:leader="dot"/>
            </w:tabs>
            <w:jc w:val="both"/>
            <w:rPr/>
          </w:pPr>
          <w:hyperlink w:anchor="_Toc424230679">
            <w:r>
              <w:rPr>
                <w:webHidden/>
              </w:rPr>
              <w:fldChar w:fldCharType="begin"/>
            </w:r>
            <w:r>
              <w:rPr>
                <w:webHidden/>
              </w:rPr>
              <w:instrText>PAGEREF _Toc424230679 \h</w:instrText>
            </w:r>
            <w:r>
              <w:rPr>
                <w:webHidden/>
              </w:rPr>
              <w:fldChar w:fldCharType="separate"/>
            </w:r>
            <w:r>
              <w:rPr>
                <w:webHidden/>
                <w:rStyle w:val="Style46"/>
                <w:rFonts w:cs="Times New Roman" w:ascii="Times New Roman" w:hAnsi="Times New Roman"/>
                <w:vanish w:val="false"/>
              </w:rPr>
              <w:t>Статья 39. Сопряжения поверхностей</w:t>
              <w:tab/>
              <w:t>213</w:t>
            </w:r>
            <w:r>
              <w:rPr>
                <w:webHidden/>
              </w:rPr>
              <w:fldChar w:fldCharType="end"/>
            </w:r>
          </w:hyperlink>
        </w:p>
        <w:p>
          <w:pPr>
            <w:pStyle w:val="310"/>
            <w:tabs>
              <w:tab w:val="right" w:pos="9770" w:leader="dot"/>
            </w:tabs>
            <w:jc w:val="both"/>
            <w:rPr/>
          </w:pPr>
          <w:hyperlink w:anchor="_Toc424230680">
            <w:r>
              <w:rPr>
                <w:webHidden/>
              </w:rPr>
              <w:fldChar w:fldCharType="begin"/>
            </w:r>
            <w:r>
              <w:rPr>
                <w:webHidden/>
              </w:rPr>
              <w:instrText>PAGEREF _Toc424230680 \h</w:instrText>
            </w:r>
            <w:r>
              <w:rPr>
                <w:webHidden/>
              </w:rPr>
              <w:fldChar w:fldCharType="separate"/>
            </w:r>
            <w:r>
              <w:rPr>
                <w:webHidden/>
                <w:rStyle w:val="Style46"/>
                <w:rFonts w:cs="Times New Roman" w:ascii="Times New Roman" w:hAnsi="Times New Roman"/>
                <w:vanish w:val="false"/>
              </w:rPr>
              <w:t>Статья 40. Ограждения</w:t>
              <w:tab/>
              <w:t>214</w:t>
            </w:r>
            <w:r>
              <w:rPr>
                <w:webHidden/>
              </w:rPr>
              <w:fldChar w:fldCharType="end"/>
            </w:r>
          </w:hyperlink>
        </w:p>
        <w:p>
          <w:pPr>
            <w:pStyle w:val="310"/>
            <w:tabs>
              <w:tab w:val="right" w:pos="9770" w:leader="dot"/>
            </w:tabs>
            <w:jc w:val="both"/>
            <w:rPr/>
          </w:pPr>
          <w:hyperlink w:anchor="_Toc424230681">
            <w:r>
              <w:rPr>
                <w:webHidden/>
              </w:rPr>
              <w:fldChar w:fldCharType="begin"/>
            </w:r>
            <w:r>
              <w:rPr>
                <w:webHidden/>
              </w:rPr>
              <w:instrText>PAGEREF _Toc424230681 \h</w:instrText>
            </w:r>
            <w:r>
              <w:rPr>
                <w:webHidden/>
              </w:rPr>
              <w:fldChar w:fldCharType="separate"/>
            </w:r>
            <w:r>
              <w:rPr>
                <w:webHidden/>
                <w:rStyle w:val="Style46"/>
                <w:rFonts w:cs="Times New Roman" w:ascii="Times New Roman" w:hAnsi="Times New Roman"/>
                <w:vanish w:val="false"/>
              </w:rPr>
              <w:t>Статья 41. Малые архитектурные формы</w:t>
              <w:tab/>
              <w:t>215</w:t>
            </w:r>
            <w:r>
              <w:rPr>
                <w:webHidden/>
              </w:rPr>
              <w:fldChar w:fldCharType="end"/>
            </w:r>
          </w:hyperlink>
        </w:p>
        <w:p>
          <w:pPr>
            <w:pStyle w:val="310"/>
            <w:tabs>
              <w:tab w:val="right" w:pos="9770" w:leader="dot"/>
            </w:tabs>
            <w:jc w:val="both"/>
            <w:rPr/>
          </w:pPr>
          <w:hyperlink w:anchor="_Toc424230682">
            <w:r>
              <w:rPr>
                <w:webHidden/>
              </w:rPr>
              <w:fldChar w:fldCharType="begin"/>
            </w:r>
            <w:r>
              <w:rPr>
                <w:webHidden/>
              </w:rPr>
              <w:instrText>PAGEREF _Toc424230682 \h</w:instrText>
            </w:r>
            <w:r>
              <w:rPr>
                <w:webHidden/>
              </w:rPr>
              <w:fldChar w:fldCharType="separate"/>
            </w:r>
            <w:r>
              <w:rPr>
                <w:webHidden/>
                <w:rStyle w:val="Style46"/>
                <w:rFonts w:cs="Times New Roman" w:ascii="Times New Roman" w:hAnsi="Times New Roman"/>
                <w:vanish w:val="false"/>
              </w:rPr>
              <w:t>Статья 42. Игровое и спортивное оборудование</w:t>
              <w:tab/>
              <w:t>216</w:t>
            </w:r>
            <w:r>
              <w:rPr>
                <w:webHidden/>
              </w:rPr>
              <w:fldChar w:fldCharType="end"/>
            </w:r>
          </w:hyperlink>
        </w:p>
        <w:p>
          <w:pPr>
            <w:pStyle w:val="310"/>
            <w:tabs>
              <w:tab w:val="right" w:pos="9770" w:leader="dot"/>
            </w:tabs>
            <w:jc w:val="both"/>
            <w:rPr/>
          </w:pPr>
          <w:hyperlink w:anchor="_Toc424230683">
            <w:r>
              <w:rPr>
                <w:webHidden/>
              </w:rPr>
              <w:fldChar w:fldCharType="begin"/>
            </w:r>
            <w:r>
              <w:rPr>
                <w:webHidden/>
              </w:rPr>
              <w:instrText>PAGEREF _Toc424230683 \h</w:instrText>
            </w:r>
            <w:r>
              <w:rPr>
                <w:webHidden/>
              </w:rPr>
              <w:fldChar w:fldCharType="separate"/>
            </w:r>
            <w:r>
              <w:rPr>
                <w:webHidden/>
                <w:rStyle w:val="Style46"/>
                <w:rFonts w:cs="Times New Roman" w:ascii="Times New Roman" w:hAnsi="Times New Roman"/>
                <w:vanish w:val="false"/>
              </w:rPr>
              <w:t>Статья 43. Освещение и осветительное оборудование</w:t>
              <w:tab/>
              <w:t>217</w:t>
            </w:r>
            <w:r>
              <w:rPr>
                <w:webHidden/>
              </w:rPr>
              <w:fldChar w:fldCharType="end"/>
            </w:r>
          </w:hyperlink>
        </w:p>
        <w:p>
          <w:pPr>
            <w:pStyle w:val="310"/>
            <w:tabs>
              <w:tab w:val="right" w:pos="9770" w:leader="dot"/>
            </w:tabs>
            <w:jc w:val="both"/>
            <w:rPr/>
          </w:pPr>
          <w:hyperlink w:anchor="_Toc424230684">
            <w:r>
              <w:rPr>
                <w:webHidden/>
              </w:rPr>
              <w:fldChar w:fldCharType="begin"/>
            </w:r>
            <w:r>
              <w:rPr>
                <w:webHidden/>
              </w:rPr>
              <w:instrText>PAGEREF _Toc424230684 \h</w:instrText>
            </w:r>
            <w:r>
              <w:rPr>
                <w:webHidden/>
              </w:rPr>
              <w:fldChar w:fldCharType="separate"/>
            </w:r>
            <w:r>
              <w:rPr>
                <w:webHidden/>
                <w:rStyle w:val="Style46"/>
                <w:rFonts w:cs="Times New Roman" w:ascii="Times New Roman" w:hAnsi="Times New Roman"/>
                <w:vanish w:val="false"/>
              </w:rPr>
              <w:t>Статья 44. Средства наружной рекламы и информации</w:t>
              <w:tab/>
              <w:t>220</w:t>
            </w:r>
            <w:r>
              <w:rPr>
                <w:webHidden/>
              </w:rPr>
              <w:fldChar w:fldCharType="end"/>
            </w:r>
          </w:hyperlink>
        </w:p>
        <w:p>
          <w:pPr>
            <w:pStyle w:val="310"/>
            <w:tabs>
              <w:tab w:val="right" w:pos="9770" w:leader="dot"/>
            </w:tabs>
            <w:jc w:val="both"/>
            <w:rPr/>
          </w:pPr>
          <w:hyperlink w:anchor="_Toc424230685">
            <w:r>
              <w:rPr>
                <w:webHidden/>
              </w:rPr>
              <w:fldChar w:fldCharType="begin"/>
            </w:r>
            <w:r>
              <w:rPr>
                <w:webHidden/>
              </w:rPr>
              <w:instrText>PAGEREF _Toc424230685 \h</w:instrText>
            </w:r>
            <w:r>
              <w:rPr>
                <w:webHidden/>
              </w:rPr>
              <w:fldChar w:fldCharType="separate"/>
            </w:r>
            <w:r>
              <w:rPr>
                <w:webHidden/>
                <w:rStyle w:val="Style46"/>
                <w:rFonts w:cs="Times New Roman" w:ascii="Times New Roman" w:hAnsi="Times New Roman"/>
                <w:vanish w:val="false"/>
              </w:rPr>
              <w:t>Статья 45. Некапитальные нестационарные сооружения</w:t>
              <w:tab/>
              <w:t>220</w:t>
            </w:r>
            <w:r>
              <w:rPr>
                <w:webHidden/>
              </w:rPr>
              <w:fldChar w:fldCharType="end"/>
            </w:r>
          </w:hyperlink>
        </w:p>
        <w:p>
          <w:pPr>
            <w:pStyle w:val="310"/>
            <w:tabs>
              <w:tab w:val="right" w:pos="9770" w:leader="dot"/>
            </w:tabs>
            <w:jc w:val="both"/>
            <w:rPr/>
          </w:pPr>
          <w:hyperlink w:anchor="_Toc424230686">
            <w:r>
              <w:rPr>
                <w:webHidden/>
              </w:rPr>
              <w:fldChar w:fldCharType="begin"/>
            </w:r>
            <w:r>
              <w:rPr>
                <w:webHidden/>
              </w:rPr>
              <w:instrText>PAGEREF _Toc424230686 \h</w:instrText>
            </w:r>
            <w:r>
              <w:rPr>
                <w:webHidden/>
              </w:rPr>
              <w:fldChar w:fldCharType="separate"/>
            </w:r>
            <w:r>
              <w:rPr>
                <w:webHidden/>
                <w:rStyle w:val="Style46"/>
                <w:rFonts w:cs="Times New Roman" w:ascii="Times New Roman" w:hAnsi="Times New Roman"/>
                <w:vanish w:val="false"/>
              </w:rPr>
              <w:t>Статья 46. Оформление и оборудование зданий и сооружений</w:t>
              <w:tab/>
              <w:t>221</w:t>
            </w:r>
            <w:r>
              <w:rPr>
                <w:webHidden/>
              </w:rPr>
              <w:fldChar w:fldCharType="end"/>
            </w:r>
          </w:hyperlink>
        </w:p>
        <w:p>
          <w:pPr>
            <w:pStyle w:val="310"/>
            <w:tabs>
              <w:tab w:val="right" w:pos="9770" w:leader="dot"/>
            </w:tabs>
            <w:jc w:val="both"/>
            <w:rPr/>
          </w:pPr>
          <w:hyperlink w:anchor="_Toc424230687">
            <w:r>
              <w:rPr>
                <w:webHidden/>
              </w:rPr>
              <w:fldChar w:fldCharType="begin"/>
            </w:r>
            <w:r>
              <w:rPr>
                <w:webHidden/>
              </w:rPr>
              <w:instrText>PAGEREF _Toc424230687 \h</w:instrText>
            </w:r>
            <w:r>
              <w:rPr>
                <w:webHidden/>
              </w:rPr>
              <w:fldChar w:fldCharType="separate"/>
            </w:r>
            <w:r>
              <w:rPr>
                <w:webHidden/>
                <w:rStyle w:val="Style46"/>
                <w:rFonts w:cs="Times New Roman" w:ascii="Times New Roman" w:hAnsi="Times New Roman"/>
                <w:vanish w:val="false"/>
              </w:rPr>
              <w:t>Статья 47. Площадки</w:t>
              <w:tab/>
              <w:t>222</w:t>
            </w:r>
            <w:r>
              <w:rPr>
                <w:webHidden/>
              </w:rPr>
              <w:fldChar w:fldCharType="end"/>
            </w:r>
          </w:hyperlink>
        </w:p>
        <w:p>
          <w:pPr>
            <w:pStyle w:val="310"/>
            <w:tabs>
              <w:tab w:val="right" w:pos="9770" w:leader="dot"/>
            </w:tabs>
            <w:jc w:val="both"/>
            <w:rPr/>
          </w:pPr>
          <w:hyperlink w:anchor="_Toc424230688">
            <w:r>
              <w:rPr>
                <w:webHidden/>
              </w:rPr>
              <w:fldChar w:fldCharType="begin"/>
            </w:r>
            <w:r>
              <w:rPr>
                <w:webHidden/>
              </w:rPr>
              <w:instrText>PAGEREF _Toc424230688 \h</w:instrText>
            </w:r>
            <w:r>
              <w:rPr>
                <w:webHidden/>
              </w:rPr>
              <w:fldChar w:fldCharType="separate"/>
            </w:r>
            <w:r>
              <w:rPr>
                <w:webHidden/>
                <w:rStyle w:val="Style46"/>
                <w:rFonts w:cs="Times New Roman" w:ascii="Times New Roman" w:hAnsi="Times New Roman"/>
                <w:vanish w:val="false"/>
              </w:rPr>
              <w:t>Статья 48. Пешеходные коммуникации</w:t>
              <w:tab/>
              <w:t>226</w:t>
            </w:r>
            <w:r>
              <w:rPr>
                <w:webHidden/>
              </w:rPr>
              <w:fldChar w:fldCharType="end"/>
            </w:r>
          </w:hyperlink>
        </w:p>
        <w:p>
          <w:pPr>
            <w:pStyle w:val="310"/>
            <w:tabs>
              <w:tab w:val="right" w:pos="9770" w:leader="dot"/>
            </w:tabs>
            <w:jc w:val="both"/>
            <w:rPr/>
          </w:pPr>
          <w:hyperlink w:anchor="_Toc424230689">
            <w:r>
              <w:rPr>
                <w:webHidden/>
              </w:rPr>
              <w:fldChar w:fldCharType="begin"/>
            </w:r>
            <w:r>
              <w:rPr>
                <w:webHidden/>
              </w:rPr>
              <w:instrText>PAGEREF _Toc424230689 \h</w:instrText>
            </w:r>
            <w:r>
              <w:rPr>
                <w:webHidden/>
              </w:rPr>
              <w:fldChar w:fldCharType="separate"/>
            </w:r>
            <w:r>
              <w:rPr>
                <w:webHidden/>
                <w:rStyle w:val="Style46"/>
                <w:rFonts w:cs="Times New Roman" w:ascii="Times New Roman" w:hAnsi="Times New Roman"/>
                <w:vanish w:val="false"/>
              </w:rPr>
              <w:t>Статья 49. Транспортные проезды</w:t>
              <w:tab/>
              <w:t>228</w:t>
            </w:r>
            <w:r>
              <w:rPr>
                <w:webHidden/>
              </w:rPr>
              <w:fldChar w:fldCharType="end"/>
            </w:r>
          </w:hyperlink>
        </w:p>
        <w:p>
          <w:pPr>
            <w:pStyle w:val="213"/>
            <w:tabs>
              <w:tab w:val="right" w:pos="9770" w:leader="dot"/>
            </w:tabs>
            <w:jc w:val="both"/>
            <w:rPr/>
          </w:pPr>
          <w:hyperlink w:anchor="_Toc424230690">
            <w:r>
              <w:rPr>
                <w:webHidden/>
              </w:rPr>
              <w:fldChar w:fldCharType="begin"/>
            </w:r>
            <w:r>
              <w:rPr>
                <w:webHidden/>
              </w:rPr>
              <w:instrText>PAGEREF _Toc424230690 \h</w:instrText>
            </w:r>
            <w:r>
              <w:rPr>
                <w:webHidden/>
              </w:rPr>
              <w:fldChar w:fldCharType="separate"/>
            </w:r>
            <w:r>
              <w:rPr>
                <w:webHidden/>
                <w:rStyle w:val="Style46"/>
                <w:rFonts w:cs="Times New Roman" w:ascii="Times New Roman" w:hAnsi="Times New Roman"/>
                <w:i/>
                <w:vanish w:val="false"/>
              </w:rPr>
              <w:t>Глава 11. Благоустройство на территориях общественного назначения</w:t>
              <w:tab/>
              <w:t>228</w:t>
            </w:r>
            <w:r>
              <w:rPr>
                <w:webHidden/>
              </w:rPr>
              <w:fldChar w:fldCharType="end"/>
            </w:r>
          </w:hyperlink>
        </w:p>
        <w:p>
          <w:pPr>
            <w:pStyle w:val="310"/>
            <w:tabs>
              <w:tab w:val="right" w:pos="9770" w:leader="dot"/>
            </w:tabs>
            <w:jc w:val="both"/>
            <w:rPr/>
          </w:pPr>
          <w:hyperlink w:anchor="_Toc424230691">
            <w:r>
              <w:rPr>
                <w:webHidden/>
              </w:rPr>
              <w:fldChar w:fldCharType="begin"/>
            </w:r>
            <w:r>
              <w:rPr>
                <w:webHidden/>
              </w:rPr>
              <w:instrText>PAGEREF _Toc424230691 \h</w:instrText>
            </w:r>
            <w:r>
              <w:rPr>
                <w:webHidden/>
              </w:rPr>
              <w:fldChar w:fldCharType="separate"/>
            </w:r>
            <w:r>
              <w:rPr>
                <w:webHidden/>
                <w:rStyle w:val="Style46"/>
                <w:rFonts w:cs="Times New Roman" w:ascii="Times New Roman" w:hAnsi="Times New Roman"/>
                <w:vanish w:val="false"/>
              </w:rPr>
              <w:t>Статья 50. Общие положения благоустройства на территориях общественного назначения</w:t>
              <w:tab/>
              <w:t>228</w:t>
            </w:r>
            <w:r>
              <w:rPr>
                <w:webHidden/>
              </w:rPr>
              <w:fldChar w:fldCharType="end"/>
            </w:r>
          </w:hyperlink>
        </w:p>
        <w:p>
          <w:pPr>
            <w:pStyle w:val="310"/>
            <w:tabs>
              <w:tab w:val="right" w:pos="9770" w:leader="dot"/>
            </w:tabs>
            <w:jc w:val="both"/>
            <w:rPr/>
          </w:pPr>
          <w:hyperlink w:anchor="_Toc424230692">
            <w:r>
              <w:rPr>
                <w:webHidden/>
              </w:rPr>
              <w:fldChar w:fldCharType="begin"/>
            </w:r>
            <w:r>
              <w:rPr>
                <w:webHidden/>
              </w:rPr>
              <w:instrText>PAGEREF _Toc424230692 \h</w:instrText>
            </w:r>
            <w:r>
              <w:rPr>
                <w:webHidden/>
              </w:rPr>
              <w:fldChar w:fldCharType="separate"/>
            </w:r>
            <w:r>
              <w:rPr>
                <w:webHidden/>
                <w:rStyle w:val="Style46"/>
                <w:rFonts w:cs="Times New Roman" w:ascii="Times New Roman" w:hAnsi="Times New Roman"/>
                <w:vanish w:val="false"/>
              </w:rPr>
              <w:t>Статья 51. Общественные пространства</w:t>
              <w:tab/>
              <w:t>229</w:t>
            </w:r>
            <w:r>
              <w:rPr>
                <w:webHidden/>
              </w:rPr>
              <w:fldChar w:fldCharType="end"/>
            </w:r>
          </w:hyperlink>
        </w:p>
        <w:p>
          <w:pPr>
            <w:pStyle w:val="310"/>
            <w:tabs>
              <w:tab w:val="right" w:pos="9770" w:leader="dot"/>
            </w:tabs>
            <w:jc w:val="both"/>
            <w:rPr/>
          </w:pPr>
          <w:hyperlink w:anchor="_Toc424230693">
            <w:r>
              <w:rPr>
                <w:webHidden/>
              </w:rPr>
              <w:fldChar w:fldCharType="begin"/>
            </w:r>
            <w:r>
              <w:rPr>
                <w:webHidden/>
              </w:rPr>
              <w:instrText>PAGEREF _Toc424230693 \h</w:instrText>
            </w:r>
            <w:r>
              <w:rPr>
                <w:webHidden/>
              </w:rPr>
              <w:fldChar w:fldCharType="separate"/>
            </w:r>
            <w:r>
              <w:rPr>
                <w:webHidden/>
                <w:rStyle w:val="Style46"/>
                <w:rFonts w:cs="Times New Roman" w:ascii="Times New Roman" w:hAnsi="Times New Roman"/>
                <w:vanish w:val="false"/>
              </w:rPr>
              <w:t>Статья 52. Участки и специализированные зоны общественной застройки</w:t>
              <w:tab/>
              <w:t>230</w:t>
            </w:r>
            <w:r>
              <w:rPr>
                <w:webHidden/>
              </w:rPr>
              <w:fldChar w:fldCharType="end"/>
            </w:r>
          </w:hyperlink>
        </w:p>
        <w:p>
          <w:pPr>
            <w:pStyle w:val="213"/>
            <w:tabs>
              <w:tab w:val="right" w:pos="9770" w:leader="dot"/>
            </w:tabs>
            <w:jc w:val="both"/>
            <w:rPr/>
          </w:pPr>
          <w:hyperlink w:anchor="_Toc424230694">
            <w:r>
              <w:rPr>
                <w:webHidden/>
              </w:rPr>
              <w:fldChar w:fldCharType="begin"/>
            </w:r>
            <w:r>
              <w:rPr>
                <w:webHidden/>
              </w:rPr>
              <w:instrText>PAGEREF _Toc424230694 \h</w:instrText>
            </w:r>
            <w:r>
              <w:rPr>
                <w:webHidden/>
              </w:rPr>
              <w:fldChar w:fldCharType="separate"/>
            </w:r>
            <w:r>
              <w:rPr>
                <w:webHidden/>
                <w:rStyle w:val="Style46"/>
                <w:rFonts w:cs="Times New Roman" w:ascii="Times New Roman" w:hAnsi="Times New Roman"/>
                <w:i/>
                <w:vanish w:val="false"/>
              </w:rPr>
              <w:t>Глава 12. Благоустройство на территориях гостиниц и других мест размещения</w:t>
              <w:tab/>
              <w:t>230</w:t>
            </w:r>
            <w:r>
              <w:rPr>
                <w:webHidden/>
              </w:rPr>
              <w:fldChar w:fldCharType="end"/>
            </w:r>
          </w:hyperlink>
        </w:p>
        <w:p>
          <w:pPr>
            <w:pStyle w:val="310"/>
            <w:tabs>
              <w:tab w:val="right" w:pos="9770" w:leader="dot"/>
            </w:tabs>
            <w:jc w:val="both"/>
            <w:rPr/>
          </w:pPr>
          <w:hyperlink w:anchor="_Toc424230695">
            <w:r>
              <w:rPr>
                <w:webHidden/>
              </w:rPr>
              <w:fldChar w:fldCharType="begin"/>
            </w:r>
            <w:r>
              <w:rPr>
                <w:webHidden/>
              </w:rPr>
              <w:instrText>PAGEREF _Toc424230695 \h</w:instrText>
            </w:r>
            <w:r>
              <w:rPr>
                <w:webHidden/>
              </w:rPr>
              <w:fldChar w:fldCharType="separate"/>
            </w:r>
            <w:r>
              <w:rPr>
                <w:webHidden/>
                <w:rStyle w:val="Style46"/>
                <w:rFonts w:cs="Times New Roman" w:ascii="Times New Roman" w:hAnsi="Times New Roman"/>
                <w:vanish w:val="false"/>
              </w:rPr>
              <w:t>Статья 53. Общественные пространства</w:t>
              <w:tab/>
              <w:t>230</w:t>
            </w:r>
            <w:r>
              <w:rPr>
                <w:webHidden/>
              </w:rPr>
              <w:fldChar w:fldCharType="end"/>
            </w:r>
          </w:hyperlink>
        </w:p>
        <w:p>
          <w:pPr>
            <w:pStyle w:val="310"/>
            <w:tabs>
              <w:tab w:val="right" w:pos="9770" w:leader="dot"/>
            </w:tabs>
            <w:jc w:val="both"/>
            <w:rPr/>
          </w:pPr>
          <w:hyperlink w:anchor="_Toc424230696">
            <w:r>
              <w:rPr>
                <w:webHidden/>
              </w:rPr>
              <w:fldChar w:fldCharType="begin"/>
            </w:r>
            <w:r>
              <w:rPr>
                <w:webHidden/>
              </w:rPr>
              <w:instrText>PAGEREF _Toc424230696 \h</w:instrText>
            </w:r>
            <w:r>
              <w:rPr>
                <w:webHidden/>
              </w:rPr>
              <w:fldChar w:fldCharType="separate"/>
            </w:r>
            <w:r>
              <w:rPr>
                <w:webHidden/>
                <w:rStyle w:val="Style46"/>
                <w:rFonts w:cs="Times New Roman" w:ascii="Times New Roman" w:hAnsi="Times New Roman"/>
                <w:vanish w:val="false"/>
              </w:rPr>
              <w:t>Статья 54. Участки гостиничной застройки</w:t>
              <w:tab/>
              <w:t>230</w:t>
            </w:r>
            <w:r>
              <w:rPr>
                <w:webHidden/>
              </w:rPr>
              <w:fldChar w:fldCharType="end"/>
            </w:r>
          </w:hyperlink>
        </w:p>
        <w:p>
          <w:pPr>
            <w:pStyle w:val="310"/>
            <w:tabs>
              <w:tab w:val="right" w:pos="9770" w:leader="dot"/>
            </w:tabs>
            <w:jc w:val="both"/>
            <w:rPr/>
          </w:pPr>
          <w:hyperlink w:anchor="_Toc424230697">
            <w:r>
              <w:rPr>
                <w:webHidden/>
              </w:rPr>
              <w:fldChar w:fldCharType="begin"/>
            </w:r>
            <w:r>
              <w:rPr>
                <w:webHidden/>
              </w:rPr>
              <w:instrText>PAGEREF _Toc424230697 \h</w:instrText>
            </w:r>
            <w:r>
              <w:rPr>
                <w:webHidden/>
              </w:rPr>
              <w:fldChar w:fldCharType="separate"/>
            </w:r>
            <w:r>
              <w:rPr>
                <w:webHidden/>
                <w:rStyle w:val="Style46"/>
                <w:rFonts w:cs="Times New Roman" w:ascii="Times New Roman" w:hAnsi="Times New Roman"/>
                <w:vanish w:val="false"/>
              </w:rPr>
              <w:t>Статья 55. Участки детских центров</w:t>
              <w:tab/>
              <w:t>232</w:t>
            </w:r>
            <w:r>
              <w:rPr>
                <w:webHidden/>
              </w:rPr>
              <w:fldChar w:fldCharType="end"/>
            </w:r>
          </w:hyperlink>
        </w:p>
        <w:p>
          <w:pPr>
            <w:pStyle w:val="310"/>
            <w:tabs>
              <w:tab w:val="right" w:pos="9770" w:leader="dot"/>
            </w:tabs>
            <w:jc w:val="both"/>
            <w:rPr/>
          </w:pPr>
          <w:hyperlink w:anchor="_Toc424230698">
            <w:r>
              <w:rPr>
                <w:webHidden/>
              </w:rPr>
              <w:fldChar w:fldCharType="begin"/>
            </w:r>
            <w:r>
              <w:rPr>
                <w:webHidden/>
              </w:rPr>
              <w:instrText>PAGEREF _Toc424230698 \h</w:instrText>
            </w:r>
            <w:r>
              <w:rPr>
                <w:webHidden/>
              </w:rPr>
              <w:fldChar w:fldCharType="separate"/>
            </w:r>
            <w:r>
              <w:rPr>
                <w:webHidden/>
                <w:rStyle w:val="Style46"/>
                <w:rFonts w:cs="Times New Roman" w:ascii="Times New Roman" w:hAnsi="Times New Roman"/>
                <w:vanish w:val="false"/>
              </w:rPr>
              <w:t>Статья 56. Участки длительного и кратковременного хранения автотранспортных средств</w:t>
              <w:tab/>
              <w:t>232</w:t>
            </w:r>
            <w:r>
              <w:rPr>
                <w:webHidden/>
              </w:rPr>
              <w:fldChar w:fldCharType="end"/>
            </w:r>
          </w:hyperlink>
        </w:p>
        <w:p>
          <w:pPr>
            <w:pStyle w:val="213"/>
            <w:tabs>
              <w:tab w:val="right" w:pos="9770" w:leader="dot"/>
            </w:tabs>
            <w:jc w:val="both"/>
            <w:rPr/>
          </w:pPr>
          <w:hyperlink w:anchor="_Toc424230699">
            <w:r>
              <w:rPr>
                <w:webHidden/>
              </w:rPr>
              <w:fldChar w:fldCharType="begin"/>
            </w:r>
            <w:r>
              <w:rPr>
                <w:webHidden/>
              </w:rPr>
              <w:instrText>PAGEREF _Toc424230699 \h</w:instrText>
            </w:r>
            <w:r>
              <w:rPr>
                <w:webHidden/>
              </w:rPr>
              <w:fldChar w:fldCharType="separate"/>
            </w:r>
            <w:r>
              <w:rPr>
                <w:webHidden/>
                <w:rStyle w:val="Style46"/>
                <w:rFonts w:cs="Times New Roman" w:ascii="Times New Roman" w:hAnsi="Times New Roman"/>
                <w:i/>
                <w:vanish w:val="false"/>
              </w:rPr>
              <w:t>Глава 13. Благоустройство на территориях рекреационного назначения</w:t>
              <w:tab/>
              <w:t>233</w:t>
            </w:r>
            <w:r>
              <w:rPr>
                <w:webHidden/>
              </w:rPr>
              <w:fldChar w:fldCharType="end"/>
            </w:r>
          </w:hyperlink>
        </w:p>
        <w:p>
          <w:pPr>
            <w:pStyle w:val="310"/>
            <w:tabs>
              <w:tab w:val="right" w:pos="9770" w:leader="dot"/>
            </w:tabs>
            <w:jc w:val="both"/>
            <w:rPr/>
          </w:pPr>
          <w:hyperlink w:anchor="_Toc424230700">
            <w:r>
              <w:rPr>
                <w:webHidden/>
              </w:rPr>
              <w:fldChar w:fldCharType="begin"/>
            </w:r>
            <w:r>
              <w:rPr>
                <w:webHidden/>
              </w:rPr>
              <w:instrText>PAGEREF _Toc424230700 \h</w:instrText>
            </w:r>
            <w:r>
              <w:rPr>
                <w:webHidden/>
              </w:rPr>
              <w:fldChar w:fldCharType="separate"/>
            </w:r>
            <w:r>
              <w:rPr>
                <w:webHidden/>
                <w:rStyle w:val="Style46"/>
                <w:rFonts w:cs="Times New Roman" w:ascii="Times New Roman" w:hAnsi="Times New Roman"/>
                <w:vanish w:val="false"/>
              </w:rPr>
              <w:t>Статья 57. Общие положения благоустройства на территориях рекреационного назначения</w:t>
              <w:tab/>
              <w:t>233</w:t>
            </w:r>
            <w:r>
              <w:rPr>
                <w:webHidden/>
              </w:rPr>
              <w:fldChar w:fldCharType="end"/>
            </w:r>
          </w:hyperlink>
        </w:p>
        <w:p>
          <w:pPr>
            <w:pStyle w:val="310"/>
            <w:tabs>
              <w:tab w:val="right" w:pos="9770" w:leader="dot"/>
            </w:tabs>
            <w:jc w:val="both"/>
            <w:rPr/>
          </w:pPr>
          <w:hyperlink w:anchor="_Toc424230701">
            <w:r>
              <w:rPr>
                <w:webHidden/>
              </w:rPr>
              <w:fldChar w:fldCharType="begin"/>
            </w:r>
            <w:r>
              <w:rPr>
                <w:webHidden/>
              </w:rPr>
              <w:instrText>PAGEREF _Toc424230701 \h</w:instrText>
            </w:r>
            <w:r>
              <w:rPr>
                <w:webHidden/>
              </w:rPr>
              <w:fldChar w:fldCharType="separate"/>
            </w:r>
            <w:r>
              <w:rPr>
                <w:webHidden/>
                <w:rStyle w:val="Style46"/>
                <w:rFonts w:cs="Times New Roman" w:ascii="Times New Roman" w:hAnsi="Times New Roman"/>
                <w:vanish w:val="false"/>
              </w:rPr>
              <w:t>Статья 58. Зоны отдыха</w:t>
              <w:tab/>
              <w:t>234</w:t>
            </w:r>
            <w:r>
              <w:rPr>
                <w:webHidden/>
              </w:rPr>
              <w:fldChar w:fldCharType="end"/>
            </w:r>
          </w:hyperlink>
        </w:p>
        <w:p>
          <w:pPr>
            <w:pStyle w:val="310"/>
            <w:tabs>
              <w:tab w:val="right" w:pos="9770" w:leader="dot"/>
            </w:tabs>
            <w:jc w:val="both"/>
            <w:rPr/>
          </w:pPr>
          <w:hyperlink w:anchor="_Toc424230702">
            <w:r>
              <w:rPr>
                <w:webHidden/>
              </w:rPr>
              <w:fldChar w:fldCharType="begin"/>
            </w:r>
            <w:r>
              <w:rPr>
                <w:webHidden/>
              </w:rPr>
              <w:instrText>PAGEREF _Toc424230702 \h</w:instrText>
            </w:r>
            <w:r>
              <w:rPr>
                <w:webHidden/>
              </w:rPr>
              <w:fldChar w:fldCharType="separate"/>
            </w:r>
            <w:r>
              <w:rPr>
                <w:webHidden/>
                <w:rStyle w:val="Style46"/>
                <w:rFonts w:cs="Times New Roman" w:ascii="Times New Roman" w:hAnsi="Times New Roman"/>
                <w:vanish w:val="false"/>
              </w:rPr>
              <w:t>Статья 59. Парки</w:t>
              <w:tab/>
              <w:t>234</w:t>
            </w:r>
            <w:r>
              <w:rPr>
                <w:webHidden/>
              </w:rPr>
              <w:fldChar w:fldCharType="end"/>
            </w:r>
          </w:hyperlink>
        </w:p>
        <w:p>
          <w:pPr>
            <w:pStyle w:val="310"/>
            <w:tabs>
              <w:tab w:val="right" w:pos="9770" w:leader="dot"/>
            </w:tabs>
            <w:jc w:val="both"/>
            <w:rPr/>
          </w:pPr>
          <w:hyperlink w:anchor="_Toc424230703">
            <w:r>
              <w:rPr>
                <w:webHidden/>
              </w:rPr>
              <w:fldChar w:fldCharType="begin"/>
            </w:r>
            <w:r>
              <w:rPr>
                <w:webHidden/>
              </w:rPr>
              <w:instrText>PAGEREF _Toc424230703 \h</w:instrText>
            </w:r>
            <w:r>
              <w:rPr>
                <w:webHidden/>
              </w:rPr>
              <w:fldChar w:fldCharType="separate"/>
            </w:r>
            <w:r>
              <w:rPr>
                <w:webHidden/>
                <w:rStyle w:val="Style46"/>
                <w:rFonts w:cs="Times New Roman" w:ascii="Times New Roman" w:hAnsi="Times New Roman"/>
                <w:vanish w:val="false"/>
              </w:rPr>
              <w:t>Статья 60. Сады</w:t>
              <w:tab/>
              <w:t>235</w:t>
            </w:r>
            <w:r>
              <w:rPr>
                <w:webHidden/>
              </w:rPr>
              <w:fldChar w:fldCharType="end"/>
            </w:r>
          </w:hyperlink>
        </w:p>
        <w:p>
          <w:pPr>
            <w:pStyle w:val="310"/>
            <w:tabs>
              <w:tab w:val="right" w:pos="9770" w:leader="dot"/>
            </w:tabs>
            <w:jc w:val="both"/>
            <w:rPr/>
          </w:pPr>
          <w:hyperlink w:anchor="_Toc424230704">
            <w:r>
              <w:rPr>
                <w:webHidden/>
              </w:rPr>
              <w:fldChar w:fldCharType="begin"/>
            </w:r>
            <w:r>
              <w:rPr>
                <w:webHidden/>
              </w:rPr>
              <w:instrText>PAGEREF _Toc424230704 \h</w:instrText>
            </w:r>
            <w:r>
              <w:rPr>
                <w:webHidden/>
              </w:rPr>
              <w:fldChar w:fldCharType="separate"/>
            </w:r>
            <w:r>
              <w:rPr>
                <w:webHidden/>
                <w:rStyle w:val="Style46"/>
                <w:rFonts w:cs="Times New Roman" w:ascii="Times New Roman" w:hAnsi="Times New Roman"/>
                <w:vanish w:val="false"/>
              </w:rPr>
              <w:t>Статья 61. Бульвары, скверы</w:t>
              <w:tab/>
              <w:t>236</w:t>
            </w:r>
            <w:r>
              <w:rPr>
                <w:webHidden/>
              </w:rPr>
              <w:fldChar w:fldCharType="end"/>
            </w:r>
          </w:hyperlink>
        </w:p>
        <w:p>
          <w:pPr>
            <w:pStyle w:val="213"/>
            <w:tabs>
              <w:tab w:val="right" w:pos="9770" w:leader="dot"/>
            </w:tabs>
            <w:jc w:val="both"/>
            <w:rPr/>
          </w:pPr>
          <w:hyperlink w:anchor="_Toc424230705">
            <w:r>
              <w:rPr>
                <w:webHidden/>
              </w:rPr>
              <w:fldChar w:fldCharType="begin"/>
            </w:r>
            <w:r>
              <w:rPr>
                <w:webHidden/>
              </w:rPr>
              <w:instrText>PAGEREF _Toc424230705 \h</w:instrText>
            </w:r>
            <w:r>
              <w:rPr>
                <w:webHidden/>
              </w:rPr>
              <w:fldChar w:fldCharType="separate"/>
            </w:r>
            <w:r>
              <w:rPr>
                <w:webHidden/>
                <w:rStyle w:val="Style46"/>
                <w:rFonts w:cs="Times New Roman" w:ascii="Times New Roman" w:hAnsi="Times New Roman"/>
                <w:i/>
                <w:vanish w:val="false"/>
              </w:rPr>
              <w:t>Глава 14. Благоустройство на территориях производственного назначения</w:t>
              <w:tab/>
              <w:t>236</w:t>
            </w:r>
            <w:r>
              <w:rPr>
                <w:webHidden/>
              </w:rPr>
              <w:fldChar w:fldCharType="end"/>
            </w:r>
          </w:hyperlink>
        </w:p>
        <w:p>
          <w:pPr>
            <w:pStyle w:val="310"/>
            <w:tabs>
              <w:tab w:val="right" w:pos="9770" w:leader="dot"/>
            </w:tabs>
            <w:jc w:val="both"/>
            <w:rPr/>
          </w:pPr>
          <w:hyperlink w:anchor="_Toc424230706">
            <w:r>
              <w:rPr>
                <w:webHidden/>
              </w:rPr>
              <w:fldChar w:fldCharType="begin"/>
            </w:r>
            <w:r>
              <w:rPr>
                <w:webHidden/>
              </w:rPr>
              <w:instrText>PAGEREF _Toc424230706 \h</w:instrText>
            </w:r>
            <w:r>
              <w:rPr>
                <w:webHidden/>
              </w:rPr>
              <w:fldChar w:fldCharType="separate"/>
            </w:r>
            <w:r>
              <w:rPr>
                <w:webHidden/>
                <w:rStyle w:val="Style46"/>
                <w:rFonts w:cs="Times New Roman" w:ascii="Times New Roman" w:hAnsi="Times New Roman"/>
                <w:vanish w:val="false"/>
              </w:rPr>
              <w:t>Статья 62. Озелененные территории санитарно-защитных зон</w:t>
              <w:tab/>
              <w:t>236</w:t>
            </w:r>
            <w:r>
              <w:rPr>
                <w:webHidden/>
              </w:rPr>
              <w:fldChar w:fldCharType="end"/>
            </w:r>
          </w:hyperlink>
        </w:p>
        <w:p>
          <w:pPr>
            <w:pStyle w:val="213"/>
            <w:tabs>
              <w:tab w:val="right" w:pos="9770" w:leader="dot"/>
            </w:tabs>
            <w:jc w:val="both"/>
            <w:rPr/>
          </w:pPr>
          <w:hyperlink w:anchor="_Toc424230707">
            <w:r>
              <w:rPr>
                <w:webHidden/>
              </w:rPr>
              <w:fldChar w:fldCharType="begin"/>
            </w:r>
            <w:r>
              <w:rPr>
                <w:webHidden/>
              </w:rPr>
              <w:instrText>PAGEREF _Toc424230707 \h</w:instrText>
            </w:r>
            <w:r>
              <w:rPr>
                <w:webHidden/>
              </w:rPr>
              <w:fldChar w:fldCharType="separate"/>
            </w:r>
            <w:r>
              <w:rPr>
                <w:webHidden/>
                <w:rStyle w:val="Style46"/>
                <w:rFonts w:cs="Times New Roman" w:ascii="Times New Roman" w:hAnsi="Times New Roman"/>
                <w:i/>
                <w:vanish w:val="false"/>
              </w:rPr>
              <w:t>Глава 15. Объекты благоустройства на территориях транспортных и инженерных коммуникаций муниципального образования</w:t>
              <w:tab/>
              <w:t>237</w:t>
            </w:r>
            <w:r>
              <w:rPr>
                <w:webHidden/>
              </w:rPr>
              <w:fldChar w:fldCharType="end"/>
            </w:r>
          </w:hyperlink>
        </w:p>
        <w:p>
          <w:pPr>
            <w:pStyle w:val="310"/>
            <w:tabs>
              <w:tab w:val="right" w:pos="9770" w:leader="dot"/>
            </w:tabs>
            <w:jc w:val="both"/>
            <w:rPr/>
          </w:pPr>
          <w:hyperlink w:anchor="_Toc424230708">
            <w:r>
              <w:rPr>
                <w:webHidden/>
              </w:rPr>
              <w:fldChar w:fldCharType="begin"/>
            </w:r>
            <w:r>
              <w:rPr>
                <w:webHidden/>
              </w:rPr>
              <w:instrText>PAGEREF _Toc424230708 \h</w:instrText>
            </w:r>
            <w:r>
              <w:rPr>
                <w:webHidden/>
              </w:rPr>
              <w:fldChar w:fldCharType="separate"/>
            </w:r>
            <w:r>
              <w:rPr>
                <w:webHidden/>
                <w:rStyle w:val="Style46"/>
                <w:rFonts w:cs="Times New Roman" w:ascii="Times New Roman" w:hAnsi="Times New Roman"/>
                <w:vanish w:val="false"/>
              </w:rPr>
              <w:t>Статья 63. Общие положения благоустройства на территориях транспортных и инженерных коммуникаций муниципального образования</w:t>
              <w:tab/>
              <w:t>237</w:t>
            </w:r>
            <w:r>
              <w:rPr>
                <w:webHidden/>
              </w:rPr>
              <w:fldChar w:fldCharType="end"/>
            </w:r>
          </w:hyperlink>
        </w:p>
        <w:p>
          <w:pPr>
            <w:pStyle w:val="310"/>
            <w:tabs>
              <w:tab w:val="right" w:pos="9770" w:leader="dot"/>
            </w:tabs>
            <w:jc w:val="both"/>
            <w:rPr/>
          </w:pPr>
          <w:hyperlink w:anchor="_Toc424230709">
            <w:r>
              <w:rPr>
                <w:webHidden/>
              </w:rPr>
              <w:fldChar w:fldCharType="begin"/>
            </w:r>
            <w:r>
              <w:rPr>
                <w:webHidden/>
              </w:rPr>
              <w:instrText>PAGEREF _Toc424230709 \h</w:instrText>
            </w:r>
            <w:r>
              <w:rPr>
                <w:webHidden/>
              </w:rPr>
              <w:fldChar w:fldCharType="separate"/>
            </w:r>
            <w:r>
              <w:rPr>
                <w:webHidden/>
                <w:rStyle w:val="Style46"/>
                <w:rFonts w:cs="Times New Roman" w:ascii="Times New Roman" w:hAnsi="Times New Roman"/>
                <w:vanish w:val="false"/>
              </w:rPr>
              <w:t>Статья 64. Улицы и дороги</w:t>
              <w:tab/>
              <w:t>238</w:t>
            </w:r>
            <w:r>
              <w:rPr>
                <w:webHidden/>
              </w:rPr>
              <w:fldChar w:fldCharType="end"/>
            </w:r>
          </w:hyperlink>
        </w:p>
        <w:p>
          <w:pPr>
            <w:pStyle w:val="310"/>
            <w:tabs>
              <w:tab w:val="right" w:pos="9770" w:leader="dot"/>
            </w:tabs>
            <w:jc w:val="both"/>
            <w:rPr/>
          </w:pPr>
          <w:hyperlink w:anchor="_Toc424230710">
            <w:r>
              <w:rPr>
                <w:webHidden/>
              </w:rPr>
              <w:fldChar w:fldCharType="begin"/>
            </w:r>
            <w:r>
              <w:rPr>
                <w:webHidden/>
              </w:rPr>
              <w:instrText>PAGEREF _Toc424230710 \h</w:instrText>
            </w:r>
            <w:r>
              <w:rPr>
                <w:webHidden/>
              </w:rPr>
              <w:fldChar w:fldCharType="separate"/>
            </w:r>
            <w:r>
              <w:rPr>
                <w:webHidden/>
                <w:rStyle w:val="Style46"/>
                <w:rFonts w:cs="Times New Roman" w:ascii="Times New Roman" w:hAnsi="Times New Roman"/>
                <w:vanish w:val="false"/>
              </w:rPr>
              <w:t>Статья 65. Площади</w:t>
              <w:tab/>
              <w:t>238</w:t>
            </w:r>
            <w:r>
              <w:rPr>
                <w:webHidden/>
              </w:rPr>
              <w:fldChar w:fldCharType="end"/>
            </w:r>
          </w:hyperlink>
        </w:p>
        <w:p>
          <w:pPr>
            <w:pStyle w:val="310"/>
            <w:tabs>
              <w:tab w:val="right" w:pos="9770" w:leader="dot"/>
            </w:tabs>
            <w:jc w:val="both"/>
            <w:rPr/>
          </w:pPr>
          <w:hyperlink w:anchor="_Toc424230711">
            <w:r>
              <w:rPr>
                <w:webHidden/>
              </w:rPr>
              <w:fldChar w:fldCharType="begin"/>
            </w:r>
            <w:r>
              <w:rPr>
                <w:webHidden/>
              </w:rPr>
              <w:instrText>PAGEREF _Toc424230711 \h</w:instrText>
            </w:r>
            <w:r>
              <w:rPr>
                <w:webHidden/>
              </w:rPr>
              <w:fldChar w:fldCharType="separate"/>
            </w:r>
            <w:r>
              <w:rPr>
                <w:webHidden/>
                <w:rStyle w:val="Style46"/>
                <w:rFonts w:cs="Times New Roman" w:ascii="Times New Roman" w:hAnsi="Times New Roman"/>
                <w:vanish w:val="false"/>
              </w:rPr>
              <w:t>Статья 66. Пешеходные переходы</w:t>
              <w:tab/>
              <w:t>239</w:t>
            </w:r>
            <w:r>
              <w:rPr>
                <w:webHidden/>
              </w:rPr>
              <w:fldChar w:fldCharType="end"/>
            </w:r>
          </w:hyperlink>
        </w:p>
        <w:p>
          <w:pPr>
            <w:pStyle w:val="310"/>
            <w:tabs>
              <w:tab w:val="right" w:pos="9770" w:leader="dot"/>
            </w:tabs>
            <w:jc w:val="both"/>
            <w:rPr/>
          </w:pPr>
          <w:hyperlink w:anchor="_Toc424230712">
            <w:r>
              <w:rPr>
                <w:webHidden/>
              </w:rPr>
              <w:fldChar w:fldCharType="begin"/>
            </w:r>
            <w:r>
              <w:rPr>
                <w:webHidden/>
              </w:rPr>
              <w:instrText>PAGEREF _Toc424230712 \h</w:instrText>
            </w:r>
            <w:r>
              <w:rPr>
                <w:webHidden/>
              </w:rPr>
              <w:fldChar w:fldCharType="separate"/>
            </w:r>
            <w:r>
              <w:rPr>
                <w:webHidden/>
                <w:rStyle w:val="Style46"/>
                <w:rFonts w:cs="Times New Roman" w:ascii="Times New Roman" w:hAnsi="Times New Roman"/>
                <w:vanish w:val="false"/>
              </w:rPr>
              <w:t>Статья 67. Технические зоны транспортных, инженерных коммуникаций, водоохранные зоны</w:t>
              <w:tab/>
              <w:t>239</w:t>
            </w:r>
            <w:r>
              <w:rPr>
                <w:webHidden/>
              </w:rPr>
              <w:fldChar w:fldCharType="end"/>
            </w:r>
          </w:hyperlink>
        </w:p>
        <w:p>
          <w:pPr>
            <w:pStyle w:val="213"/>
            <w:tabs>
              <w:tab w:val="right" w:pos="9770" w:leader="dot"/>
            </w:tabs>
            <w:jc w:val="both"/>
            <w:rPr/>
          </w:pPr>
          <w:hyperlink w:anchor="_Toc424230713">
            <w:r>
              <w:rPr>
                <w:webHidden/>
              </w:rPr>
              <w:fldChar w:fldCharType="begin"/>
            </w:r>
            <w:r>
              <w:rPr>
                <w:webHidden/>
              </w:rPr>
              <w:instrText>PAGEREF _Toc424230713 \h</w:instrText>
            </w:r>
            <w:r>
              <w:rPr>
                <w:webHidden/>
              </w:rPr>
              <w:fldChar w:fldCharType="separate"/>
            </w:r>
            <w:r>
              <w:rPr>
                <w:webHidden/>
                <w:rStyle w:val="Style46"/>
                <w:rFonts w:cs="Times New Roman" w:ascii="Times New Roman" w:hAnsi="Times New Roman"/>
                <w:i/>
                <w:vanish w:val="false"/>
              </w:rPr>
              <w:t>Глава 16. Эксплуатация объектов благоустройства</w:t>
              <w:tab/>
              <w:t>240</w:t>
            </w:r>
            <w:r>
              <w:rPr>
                <w:webHidden/>
              </w:rPr>
              <w:fldChar w:fldCharType="end"/>
            </w:r>
          </w:hyperlink>
        </w:p>
        <w:p>
          <w:pPr>
            <w:pStyle w:val="310"/>
            <w:tabs>
              <w:tab w:val="right" w:pos="9770" w:leader="dot"/>
            </w:tabs>
            <w:jc w:val="both"/>
            <w:rPr/>
          </w:pPr>
          <w:hyperlink w:anchor="_Toc424230714">
            <w:r>
              <w:rPr>
                <w:webHidden/>
              </w:rPr>
              <w:fldChar w:fldCharType="begin"/>
            </w:r>
            <w:r>
              <w:rPr>
                <w:webHidden/>
              </w:rPr>
              <w:instrText>PAGEREF _Toc424230714 \h</w:instrText>
            </w:r>
            <w:r>
              <w:rPr>
                <w:webHidden/>
              </w:rPr>
              <w:fldChar w:fldCharType="separate"/>
            </w:r>
            <w:r>
              <w:rPr>
                <w:webHidden/>
                <w:rStyle w:val="Style46"/>
                <w:rFonts w:cs="Times New Roman" w:ascii="Times New Roman" w:hAnsi="Times New Roman"/>
                <w:vanish w:val="false"/>
              </w:rPr>
              <w:t>Статья 68. Общие положения эксплуатации объектов благоустройства</w:t>
              <w:tab/>
              <w:t>240</w:t>
            </w:r>
            <w:r>
              <w:rPr>
                <w:webHidden/>
              </w:rPr>
              <w:fldChar w:fldCharType="end"/>
            </w:r>
          </w:hyperlink>
        </w:p>
        <w:p>
          <w:pPr>
            <w:pStyle w:val="310"/>
            <w:tabs>
              <w:tab w:val="right" w:pos="9770" w:leader="dot"/>
            </w:tabs>
            <w:jc w:val="both"/>
            <w:rPr/>
          </w:pPr>
          <w:hyperlink w:anchor="_Toc424230715">
            <w:r>
              <w:rPr>
                <w:webHidden/>
              </w:rPr>
              <w:fldChar w:fldCharType="begin"/>
            </w:r>
            <w:r>
              <w:rPr>
                <w:webHidden/>
              </w:rPr>
              <w:instrText>PAGEREF _Toc424230715 \h</w:instrText>
            </w:r>
            <w:r>
              <w:rPr>
                <w:webHidden/>
              </w:rPr>
              <w:fldChar w:fldCharType="separate"/>
            </w:r>
            <w:r>
              <w:rPr>
                <w:webHidden/>
                <w:rStyle w:val="Style46"/>
                <w:rFonts w:cs="Times New Roman" w:ascii="Times New Roman" w:hAnsi="Times New Roman"/>
                <w:vanish w:val="false"/>
              </w:rPr>
              <w:t>Статья 69. Уборка территории</w:t>
              <w:tab/>
              <w:t>240</w:t>
            </w:r>
            <w:r>
              <w:rPr>
                <w:webHidden/>
              </w:rPr>
              <w:fldChar w:fldCharType="end"/>
            </w:r>
          </w:hyperlink>
        </w:p>
        <w:p>
          <w:pPr>
            <w:pStyle w:val="310"/>
            <w:tabs>
              <w:tab w:val="right" w:pos="9770" w:leader="dot"/>
            </w:tabs>
            <w:jc w:val="both"/>
            <w:rPr/>
          </w:pPr>
          <w:hyperlink w:anchor="_Toc424230716">
            <w:r>
              <w:rPr>
                <w:webHidden/>
              </w:rPr>
              <w:fldChar w:fldCharType="begin"/>
            </w:r>
            <w:r>
              <w:rPr>
                <w:webHidden/>
              </w:rPr>
              <w:instrText>PAGEREF _Toc424230716 \h</w:instrText>
            </w:r>
            <w:r>
              <w:rPr>
                <w:webHidden/>
              </w:rPr>
              <w:fldChar w:fldCharType="separate"/>
            </w:r>
            <w:r>
              <w:rPr>
                <w:webHidden/>
                <w:rStyle w:val="Style46"/>
                <w:rFonts w:cs="Times New Roman" w:ascii="Times New Roman" w:hAnsi="Times New Roman"/>
                <w:vanish w:val="false"/>
              </w:rPr>
              <w:t>Статья 70. Особенности уборки территории в весенне-летний период</w:t>
              <w:tab/>
              <w:t>243</w:t>
            </w:r>
            <w:r>
              <w:rPr>
                <w:webHidden/>
              </w:rPr>
              <w:fldChar w:fldCharType="end"/>
            </w:r>
          </w:hyperlink>
        </w:p>
        <w:p>
          <w:pPr>
            <w:pStyle w:val="310"/>
            <w:tabs>
              <w:tab w:val="right" w:pos="9770" w:leader="dot"/>
            </w:tabs>
            <w:jc w:val="both"/>
            <w:rPr/>
          </w:pPr>
          <w:hyperlink w:anchor="_Toc424230717">
            <w:r>
              <w:rPr>
                <w:webHidden/>
              </w:rPr>
              <w:fldChar w:fldCharType="begin"/>
            </w:r>
            <w:r>
              <w:rPr>
                <w:webHidden/>
              </w:rPr>
              <w:instrText>PAGEREF _Toc424230717 \h</w:instrText>
            </w:r>
            <w:r>
              <w:rPr>
                <w:webHidden/>
              </w:rPr>
              <w:fldChar w:fldCharType="separate"/>
            </w:r>
            <w:r>
              <w:rPr>
                <w:webHidden/>
                <w:rStyle w:val="Style46"/>
                <w:rFonts w:cs="Times New Roman" w:ascii="Times New Roman" w:hAnsi="Times New Roman"/>
                <w:vanish w:val="false"/>
              </w:rPr>
              <w:t>Статья 71. Особенности уборки территории в осенне-зимний период</w:t>
              <w:tab/>
              <w:t>243</w:t>
            </w:r>
            <w:r>
              <w:rPr>
                <w:webHidden/>
              </w:rPr>
              <w:fldChar w:fldCharType="end"/>
            </w:r>
          </w:hyperlink>
        </w:p>
        <w:p>
          <w:pPr>
            <w:pStyle w:val="310"/>
            <w:tabs>
              <w:tab w:val="right" w:pos="9770" w:leader="dot"/>
            </w:tabs>
            <w:jc w:val="both"/>
            <w:rPr/>
          </w:pPr>
          <w:hyperlink w:anchor="_Toc424230718">
            <w:r>
              <w:rPr>
                <w:webHidden/>
              </w:rPr>
              <w:fldChar w:fldCharType="begin"/>
            </w:r>
            <w:r>
              <w:rPr>
                <w:webHidden/>
              </w:rPr>
              <w:instrText>PAGEREF _Toc424230718 \h</w:instrText>
            </w:r>
            <w:r>
              <w:rPr>
                <w:webHidden/>
              </w:rPr>
              <w:fldChar w:fldCharType="separate"/>
            </w:r>
            <w:r>
              <w:rPr>
                <w:webHidden/>
                <w:rStyle w:val="Style46"/>
                <w:rFonts w:cs="Times New Roman" w:ascii="Times New Roman" w:hAnsi="Times New Roman"/>
                <w:vanish w:val="false"/>
              </w:rPr>
              <w:t>Статья 72. Порядок содержания элементов благоустройства</w:t>
              <w:tab/>
              <w:t>244</w:t>
            </w:r>
            <w:r>
              <w:rPr>
                <w:webHidden/>
              </w:rPr>
              <w:fldChar w:fldCharType="end"/>
            </w:r>
          </w:hyperlink>
        </w:p>
        <w:p>
          <w:pPr>
            <w:pStyle w:val="310"/>
            <w:tabs>
              <w:tab w:val="right" w:pos="9770" w:leader="dot"/>
            </w:tabs>
            <w:jc w:val="both"/>
            <w:rPr/>
          </w:pPr>
          <w:hyperlink w:anchor="_Toc424230719">
            <w:r>
              <w:rPr>
                <w:webHidden/>
              </w:rPr>
              <w:fldChar w:fldCharType="begin"/>
            </w:r>
            <w:r>
              <w:rPr>
                <w:webHidden/>
              </w:rPr>
              <w:instrText>PAGEREF _Toc424230719 \h</w:instrText>
            </w:r>
            <w:r>
              <w:rPr>
                <w:webHidden/>
              </w:rPr>
              <w:fldChar w:fldCharType="separate"/>
            </w:r>
            <w:r>
              <w:rPr>
                <w:webHidden/>
                <w:rStyle w:val="Style46"/>
                <w:rFonts w:cs="Times New Roman" w:ascii="Times New Roman" w:hAnsi="Times New Roman"/>
                <w:vanish w:val="false"/>
              </w:rPr>
              <w:t>Статья 73. Работы по озеленению территорий и содержанию зеленых насаждений</w:t>
              <w:tab/>
              <w:t>246</w:t>
            </w:r>
            <w:r>
              <w:rPr>
                <w:webHidden/>
              </w:rPr>
              <w:fldChar w:fldCharType="end"/>
            </w:r>
          </w:hyperlink>
        </w:p>
        <w:p>
          <w:pPr>
            <w:pStyle w:val="310"/>
            <w:tabs>
              <w:tab w:val="right" w:pos="9770" w:leader="dot"/>
            </w:tabs>
            <w:jc w:val="both"/>
            <w:rPr/>
          </w:pPr>
          <w:hyperlink w:anchor="_Toc424230720">
            <w:r>
              <w:rPr>
                <w:webHidden/>
              </w:rPr>
              <w:fldChar w:fldCharType="begin"/>
            </w:r>
            <w:r>
              <w:rPr>
                <w:webHidden/>
              </w:rPr>
              <w:instrText>PAGEREF _Toc424230720 \h</w:instrText>
            </w:r>
            <w:r>
              <w:rPr>
                <w:webHidden/>
              </w:rPr>
              <w:fldChar w:fldCharType="separate"/>
            </w:r>
            <w:r>
              <w:rPr>
                <w:webHidden/>
                <w:rStyle w:val="Style46"/>
                <w:rFonts w:cs="Times New Roman" w:ascii="Times New Roman" w:hAnsi="Times New Roman"/>
                <w:vanish w:val="false"/>
              </w:rPr>
              <w:t>Статья 74. Содержание и эксплуатация дорог</w:t>
              <w:tab/>
              <w:t>247</w:t>
            </w:r>
            <w:r>
              <w:rPr>
                <w:webHidden/>
              </w:rPr>
              <w:fldChar w:fldCharType="end"/>
            </w:r>
          </w:hyperlink>
        </w:p>
        <w:p>
          <w:pPr>
            <w:pStyle w:val="310"/>
            <w:tabs>
              <w:tab w:val="right" w:pos="9770" w:leader="dot"/>
            </w:tabs>
            <w:jc w:val="both"/>
            <w:rPr/>
          </w:pPr>
          <w:hyperlink w:anchor="_Toc424230721">
            <w:r>
              <w:rPr>
                <w:webHidden/>
              </w:rPr>
              <w:fldChar w:fldCharType="begin"/>
            </w:r>
            <w:r>
              <w:rPr>
                <w:webHidden/>
              </w:rPr>
              <w:instrText>PAGEREF _Toc424230721 \h</w:instrText>
            </w:r>
            <w:r>
              <w:rPr>
                <w:webHidden/>
              </w:rPr>
              <w:fldChar w:fldCharType="separate"/>
            </w:r>
            <w:r>
              <w:rPr>
                <w:webHidden/>
                <w:rStyle w:val="Style46"/>
                <w:rFonts w:cs="Times New Roman" w:ascii="Times New Roman" w:hAnsi="Times New Roman"/>
                <w:vanish w:val="false"/>
              </w:rPr>
              <w:t>Статья 75. Освещение территории</w:t>
              <w:tab/>
              <w:t>248</w:t>
            </w:r>
            <w:r>
              <w:rPr>
                <w:webHidden/>
              </w:rPr>
              <w:fldChar w:fldCharType="end"/>
            </w:r>
          </w:hyperlink>
        </w:p>
        <w:p>
          <w:pPr>
            <w:pStyle w:val="310"/>
            <w:tabs>
              <w:tab w:val="right" w:pos="9770" w:leader="dot"/>
            </w:tabs>
            <w:jc w:val="both"/>
            <w:rPr/>
          </w:pPr>
          <w:hyperlink w:anchor="_Toc424230722">
            <w:r>
              <w:rPr>
                <w:webHidden/>
              </w:rPr>
              <w:fldChar w:fldCharType="begin"/>
            </w:r>
            <w:r>
              <w:rPr>
                <w:webHidden/>
              </w:rPr>
              <w:instrText>PAGEREF _Toc424230722 \h</w:instrText>
            </w:r>
            <w:r>
              <w:rPr>
                <w:webHidden/>
              </w:rPr>
              <w:fldChar w:fldCharType="separate"/>
            </w:r>
            <w:r>
              <w:rPr>
                <w:webHidden/>
                <w:rStyle w:val="Style46"/>
                <w:rFonts w:cs="Times New Roman" w:ascii="Times New Roman" w:hAnsi="Times New Roman"/>
                <w:vanish w:val="false"/>
              </w:rPr>
              <w:t>Статья 76. Проведение работ при строительстве, ремонте, реконструкции коммуникаций</w:t>
              <w:tab/>
              <w:t>248</w:t>
            </w:r>
            <w:r>
              <w:rPr>
                <w:webHidden/>
              </w:rPr>
              <w:fldChar w:fldCharType="end"/>
            </w:r>
          </w:hyperlink>
        </w:p>
        <w:p>
          <w:pPr>
            <w:pStyle w:val="310"/>
            <w:tabs>
              <w:tab w:val="right" w:pos="9770" w:leader="dot"/>
            </w:tabs>
            <w:jc w:val="both"/>
            <w:rPr/>
          </w:pPr>
          <w:hyperlink w:anchor="_Toc424230723">
            <w:r>
              <w:rPr>
                <w:webHidden/>
              </w:rPr>
              <w:fldChar w:fldCharType="begin"/>
            </w:r>
            <w:r>
              <w:rPr>
                <w:webHidden/>
              </w:rPr>
              <w:instrText>PAGEREF _Toc424230723 \h</w:instrText>
            </w:r>
            <w:r>
              <w:rPr>
                <w:webHidden/>
              </w:rPr>
              <w:fldChar w:fldCharType="separate"/>
            </w:r>
            <w:r>
              <w:rPr>
                <w:webHidden/>
                <w:rStyle w:val="Style46"/>
                <w:rFonts w:cs="Times New Roman" w:ascii="Times New Roman" w:hAnsi="Times New Roman"/>
                <w:vanish w:val="false"/>
              </w:rPr>
              <w:t>Статья 77. Особые требования к доступности городской среды</w:t>
              <w:tab/>
              <w:t>251</w:t>
            </w:r>
            <w:r>
              <w:rPr>
                <w:webHidden/>
              </w:rPr>
              <w:fldChar w:fldCharType="end"/>
            </w:r>
          </w:hyperlink>
        </w:p>
        <w:p>
          <w:pPr>
            <w:pStyle w:val="310"/>
            <w:tabs>
              <w:tab w:val="right" w:pos="9770" w:leader="dot"/>
            </w:tabs>
            <w:jc w:val="both"/>
            <w:rPr/>
          </w:pPr>
          <w:hyperlink w:anchor="_Toc424230724">
            <w:r>
              <w:rPr>
                <w:webHidden/>
              </w:rPr>
              <w:fldChar w:fldCharType="begin"/>
            </w:r>
            <w:r>
              <w:rPr>
                <w:webHidden/>
              </w:rPr>
              <w:instrText>PAGEREF _Toc424230724 \h</w:instrText>
            </w:r>
            <w:r>
              <w:rPr>
                <w:webHidden/>
              </w:rPr>
              <w:fldChar w:fldCharType="separate"/>
            </w:r>
            <w:r>
              <w:rPr>
                <w:webHidden/>
                <w:rStyle w:val="Style46"/>
                <w:rFonts w:cs="Times New Roman" w:ascii="Times New Roman" w:hAnsi="Times New Roman"/>
                <w:vanish w:val="false"/>
              </w:rPr>
              <w:t>Статья 78. Праздничное оформление территории</w:t>
              <w:tab/>
              <w:t>251</w:t>
            </w:r>
            <w:r>
              <w:rPr>
                <w:webHidden/>
              </w:rPr>
              <w:fldChar w:fldCharType="end"/>
            </w:r>
          </w:hyperlink>
        </w:p>
        <w:p>
          <w:pPr>
            <w:pStyle w:val="213"/>
            <w:tabs>
              <w:tab w:val="right" w:pos="9770" w:leader="dot"/>
            </w:tabs>
            <w:jc w:val="both"/>
            <w:rPr/>
          </w:pPr>
          <w:hyperlink w:anchor="_Toc424230725">
            <w:r>
              <w:rPr>
                <w:webHidden/>
              </w:rPr>
              <w:fldChar w:fldCharType="begin"/>
            </w:r>
            <w:r>
              <w:rPr>
                <w:webHidden/>
              </w:rPr>
              <w:instrText>PAGEREF _Toc424230725 \h</w:instrText>
            </w:r>
            <w:r>
              <w:rPr>
                <w:webHidden/>
              </w:rPr>
              <w:fldChar w:fldCharType="separate"/>
            </w:r>
            <w:r>
              <w:rPr>
                <w:webHidden/>
                <w:rStyle w:val="Style46"/>
                <w:rFonts w:cs="Times New Roman" w:ascii="Times New Roman" w:hAnsi="Times New Roman"/>
                <w:i/>
                <w:vanish w:val="false"/>
              </w:rPr>
              <w:t>Глава 17. Иные вопросы благоустройства территории</w:t>
              <w:tab/>
              <w:t>251</w:t>
            </w:r>
            <w:r>
              <w:rPr>
                <w:webHidden/>
              </w:rPr>
              <w:fldChar w:fldCharType="end"/>
            </w:r>
          </w:hyperlink>
        </w:p>
        <w:p>
          <w:pPr>
            <w:pStyle w:val="310"/>
            <w:tabs>
              <w:tab w:val="right" w:pos="9770" w:leader="dot"/>
            </w:tabs>
            <w:jc w:val="both"/>
            <w:rPr/>
          </w:pPr>
          <w:hyperlink w:anchor="_Toc424230726">
            <w:r>
              <w:rPr>
                <w:webHidden/>
              </w:rPr>
              <w:fldChar w:fldCharType="begin"/>
            </w:r>
            <w:r>
              <w:rPr>
                <w:webHidden/>
              </w:rPr>
              <w:instrText>PAGEREF _Toc424230726 \h</w:instrText>
            </w:r>
            <w:r>
              <w:rPr>
                <w:webHidden/>
              </w:rPr>
              <w:fldChar w:fldCharType="separate"/>
            </w:r>
            <w:r>
              <w:rPr>
                <w:webHidden/>
                <w:rStyle w:val="Style46"/>
                <w:rFonts w:cs="Times New Roman" w:ascii="Times New Roman" w:hAnsi="Times New Roman"/>
                <w:vanish w:val="false"/>
              </w:rPr>
              <w:t>Статья 79. Контроль за соблюдением норм и правил благоустройства</w:t>
              <w:tab/>
              <w:t>251</w:t>
            </w:r>
            <w:r>
              <w:rPr>
                <w:webHidden/>
              </w:rPr>
              <w:fldChar w:fldCharType="end"/>
            </w:r>
          </w:hyperlink>
        </w:p>
        <w:p>
          <w:pPr>
            <w:pStyle w:val="15"/>
            <w:tabs>
              <w:tab w:val="right" w:pos="9770" w:leader="dot"/>
            </w:tabs>
            <w:jc w:val="both"/>
            <w:rPr/>
          </w:pPr>
          <w:hyperlink w:anchor="_Toc424230727">
            <w:r>
              <w:rPr>
                <w:webHidden/>
              </w:rPr>
              <w:fldChar w:fldCharType="begin"/>
            </w:r>
            <w:r>
              <w:rPr>
                <w:webHidden/>
              </w:rPr>
              <w:instrText>PAGEREF _Toc424230727 \h</w:instrText>
            </w:r>
            <w:r>
              <w:rPr>
                <w:webHidden/>
              </w:rPr>
              <w:fldChar w:fldCharType="separate"/>
            </w:r>
            <w:r>
              <w:rPr>
                <w:webHidden/>
                <w:rStyle w:val="Style46"/>
                <w:rFonts w:cs="Times New Roman" w:ascii="Times New Roman" w:hAnsi="Times New Roman"/>
                <w:i/>
                <w:vanish w:val="false"/>
              </w:rPr>
              <w:t>Часть 5. Архитектурные особенности и колористические решения застройки</w:t>
              <w:tab/>
              <w:t>252</w:t>
            </w:r>
            <w:r>
              <w:rPr>
                <w:webHidden/>
              </w:rPr>
              <w:fldChar w:fldCharType="end"/>
            </w:r>
          </w:hyperlink>
        </w:p>
        <w:p>
          <w:pPr>
            <w:pStyle w:val="213"/>
            <w:tabs>
              <w:tab w:val="right" w:pos="9770" w:leader="dot"/>
            </w:tabs>
            <w:jc w:val="both"/>
            <w:rPr/>
          </w:pPr>
          <w:hyperlink w:anchor="_Toc424230728">
            <w:r>
              <w:rPr>
                <w:webHidden/>
              </w:rPr>
              <w:fldChar w:fldCharType="begin"/>
            </w:r>
            <w:r>
              <w:rPr>
                <w:webHidden/>
              </w:rPr>
              <w:instrText>PAGEREF _Toc424230728 \h</w:instrText>
            </w:r>
            <w:r>
              <w:rPr>
                <w:webHidden/>
              </w:rPr>
              <w:fldChar w:fldCharType="separate"/>
            </w:r>
            <w:r>
              <w:rPr>
                <w:webHidden/>
                <w:rStyle w:val="Style46"/>
                <w:rFonts w:cs="Times New Roman" w:ascii="Times New Roman" w:hAnsi="Times New Roman"/>
                <w:i/>
                <w:vanish w:val="false"/>
              </w:rPr>
              <w:t>Глава 18. Требования к архитектурным особенностям и колористическим решениям застройки</w:t>
              <w:tab/>
              <w:t>252</w:t>
            </w:r>
            <w:r>
              <w:rPr>
                <w:webHidden/>
              </w:rPr>
              <w:fldChar w:fldCharType="end"/>
            </w:r>
          </w:hyperlink>
        </w:p>
        <w:p>
          <w:pPr>
            <w:pStyle w:val="310"/>
            <w:tabs>
              <w:tab w:val="right" w:pos="9770" w:leader="dot"/>
            </w:tabs>
            <w:jc w:val="both"/>
            <w:rPr/>
          </w:pPr>
          <w:hyperlink w:anchor="_Toc424230729">
            <w:r>
              <w:rPr>
                <w:webHidden/>
              </w:rPr>
              <w:fldChar w:fldCharType="begin"/>
            </w:r>
            <w:r>
              <w:rPr>
                <w:webHidden/>
              </w:rPr>
              <w:instrText>PAGEREF _Toc424230729 \h</w:instrText>
            </w:r>
            <w:r>
              <w:rPr>
                <w:webHidden/>
              </w:rPr>
              <w:fldChar w:fldCharType="separate"/>
            </w:r>
            <w:r>
              <w:rPr>
                <w:webHidden/>
                <w:rStyle w:val="Style46"/>
                <w:rFonts w:cs="Times New Roman" w:ascii="Times New Roman" w:hAnsi="Times New Roman"/>
                <w:vanish w:val="false"/>
              </w:rPr>
              <w:t>Статья 80. Общие требования к архитектурным особенностям и колористическим решениям застройки</w:t>
              <w:tab/>
              <w:t>252</w:t>
            </w:r>
            <w:r>
              <w:rPr>
                <w:webHidden/>
              </w:rPr>
              <w:fldChar w:fldCharType="end"/>
            </w:r>
          </w:hyperlink>
        </w:p>
        <w:p>
          <w:pPr>
            <w:pStyle w:val="310"/>
            <w:tabs>
              <w:tab w:val="right" w:pos="9770" w:leader="dot"/>
            </w:tabs>
            <w:jc w:val="both"/>
            <w:rPr/>
          </w:pPr>
          <w:hyperlink w:anchor="_Toc424230730">
            <w:r>
              <w:rPr>
                <w:webHidden/>
              </w:rPr>
              <w:fldChar w:fldCharType="begin"/>
            </w:r>
            <w:r>
              <w:rPr>
                <w:webHidden/>
              </w:rPr>
              <w:instrText>PAGEREF _Toc424230730 \h</w:instrText>
            </w:r>
            <w:r>
              <w:rPr>
                <w:webHidden/>
              </w:rPr>
              <w:fldChar w:fldCharType="separate"/>
            </w:r>
            <w:r>
              <w:rPr>
                <w:webHidden/>
                <w:rStyle w:val="Style46"/>
                <w:rFonts w:cs="Times New Roman" w:ascii="Times New Roman" w:hAnsi="Times New Roman"/>
                <w:vanish w:val="false"/>
              </w:rPr>
              <w:t>Статья 81. Характеристики туристических деревень</w:t>
              <w:tab/>
              <w:t>252</w:t>
            </w:r>
            <w:r>
              <w:rPr>
                <w:webHidden/>
              </w:rPr>
              <w:fldChar w:fldCharType="end"/>
            </w:r>
          </w:hyperlink>
        </w:p>
        <w:p>
          <w:pPr>
            <w:pStyle w:val="310"/>
            <w:tabs>
              <w:tab w:val="right" w:pos="9770" w:leader="dot"/>
            </w:tabs>
            <w:jc w:val="both"/>
            <w:rPr/>
          </w:pPr>
          <w:hyperlink w:anchor="_Toc424230731">
            <w:r>
              <w:rPr>
                <w:webHidden/>
              </w:rPr>
              <w:fldChar w:fldCharType="begin"/>
            </w:r>
            <w:r>
              <w:rPr>
                <w:webHidden/>
              </w:rPr>
              <w:instrText>PAGEREF _Toc424230731 \h</w:instrText>
            </w:r>
            <w:r>
              <w:rPr>
                <w:webHidden/>
              </w:rPr>
              <w:fldChar w:fldCharType="separate"/>
            </w:r>
            <w:r>
              <w:rPr>
                <w:webHidden/>
                <w:rStyle w:val="Style46"/>
                <w:rFonts w:cs="Times New Roman" w:ascii="Times New Roman" w:hAnsi="Times New Roman"/>
                <w:vanish w:val="false"/>
              </w:rPr>
              <w:t>Статья 82. Фасадные решения гостиниц, апарт-отелей и апартаментов</w:t>
              <w:tab/>
              <w:t>254</w:t>
            </w:r>
            <w:r>
              <w:rPr>
                <w:webHidden/>
              </w:rPr>
              <w:fldChar w:fldCharType="end"/>
            </w:r>
          </w:hyperlink>
        </w:p>
        <w:p>
          <w:pPr>
            <w:pStyle w:val="310"/>
            <w:tabs>
              <w:tab w:val="right" w:pos="9770" w:leader="dot"/>
            </w:tabs>
            <w:jc w:val="both"/>
            <w:rPr/>
          </w:pPr>
          <w:hyperlink w:anchor="_Toc424230732">
            <w:r>
              <w:rPr>
                <w:webHidden/>
              </w:rPr>
              <w:fldChar w:fldCharType="begin"/>
            </w:r>
            <w:r>
              <w:rPr>
                <w:webHidden/>
              </w:rPr>
              <w:instrText>PAGEREF _Toc424230732 \h</w:instrText>
            </w:r>
            <w:r>
              <w:rPr>
                <w:webHidden/>
              </w:rPr>
              <w:fldChar w:fldCharType="separate"/>
            </w:r>
            <w:r>
              <w:rPr>
                <w:webHidden/>
                <w:rStyle w:val="Style46"/>
                <w:rFonts w:cs="Times New Roman" w:ascii="Times New Roman" w:hAnsi="Times New Roman"/>
                <w:vanish w:val="false"/>
              </w:rPr>
              <w:t>Статья 83. Крыши</w:t>
              <w:tab/>
              <w:t>254</w:t>
            </w:r>
            <w:r>
              <w:rPr>
                <w:webHidden/>
              </w:rPr>
              <w:fldChar w:fldCharType="end"/>
            </w:r>
          </w:hyperlink>
        </w:p>
        <w:p>
          <w:pPr>
            <w:pStyle w:val="310"/>
            <w:tabs>
              <w:tab w:val="right" w:pos="9770" w:leader="dot"/>
            </w:tabs>
            <w:jc w:val="both"/>
            <w:rPr/>
          </w:pPr>
          <w:hyperlink w:anchor="_Toc424230733">
            <w:r>
              <w:rPr>
                <w:webHidden/>
              </w:rPr>
              <w:fldChar w:fldCharType="begin"/>
            </w:r>
            <w:r>
              <w:rPr>
                <w:webHidden/>
              </w:rPr>
              <w:instrText>PAGEREF _Toc424230733 \h</w:instrText>
            </w:r>
            <w:r>
              <w:rPr>
                <w:webHidden/>
              </w:rPr>
              <w:fldChar w:fldCharType="separate"/>
            </w:r>
            <w:r>
              <w:rPr>
                <w:webHidden/>
                <w:rStyle w:val="Style46"/>
                <w:rFonts w:cs="Times New Roman" w:ascii="Times New Roman" w:hAnsi="Times New Roman"/>
                <w:vanish w:val="false"/>
              </w:rPr>
              <w:t>Статья 84. Традиционные мотивы в архитектуре</w:t>
              <w:tab/>
              <w:t>255</w:t>
            </w:r>
            <w:r>
              <w:rPr>
                <w:webHidden/>
              </w:rPr>
              <w:fldChar w:fldCharType="end"/>
            </w:r>
          </w:hyperlink>
        </w:p>
        <w:p>
          <w:pPr>
            <w:pStyle w:val="310"/>
            <w:tabs>
              <w:tab w:val="right" w:pos="9770" w:leader="dot"/>
            </w:tabs>
            <w:jc w:val="both"/>
            <w:rPr/>
          </w:pPr>
          <w:hyperlink w:anchor="_Toc424230734">
            <w:r>
              <w:rPr>
                <w:webHidden/>
              </w:rPr>
              <w:fldChar w:fldCharType="begin"/>
            </w:r>
            <w:r>
              <w:rPr>
                <w:webHidden/>
              </w:rPr>
              <w:instrText>PAGEREF _Toc424230734 \h</w:instrText>
            </w:r>
            <w:r>
              <w:rPr>
                <w:webHidden/>
              </w:rPr>
              <w:fldChar w:fldCharType="separate"/>
            </w:r>
            <w:r>
              <w:rPr>
                <w:webHidden/>
                <w:rStyle w:val="Style46"/>
                <w:rFonts w:cs="Times New Roman" w:ascii="Times New Roman" w:hAnsi="Times New Roman"/>
                <w:vanish w:val="false"/>
              </w:rPr>
              <w:t>Статья 85. Дымоходы, антенны, солнечные батареи и инженерное оборудование</w:t>
              <w:tab/>
              <w:t>255</w:t>
            </w:r>
            <w:r>
              <w:rPr>
                <w:webHidden/>
              </w:rPr>
              <w:fldChar w:fldCharType="end"/>
            </w:r>
          </w:hyperlink>
        </w:p>
        <w:p>
          <w:pPr>
            <w:pStyle w:val="310"/>
            <w:tabs>
              <w:tab w:val="right" w:pos="9770" w:leader="dot"/>
            </w:tabs>
            <w:jc w:val="both"/>
            <w:rPr/>
          </w:pPr>
          <w:hyperlink w:anchor="_Toc424230735">
            <w:r>
              <w:rPr>
                <w:webHidden/>
              </w:rPr>
              <w:fldChar w:fldCharType="begin"/>
            </w:r>
            <w:r>
              <w:rPr>
                <w:webHidden/>
              </w:rPr>
              <w:instrText>PAGEREF _Toc424230735 \h</w:instrText>
            </w:r>
            <w:r>
              <w:rPr>
                <w:webHidden/>
              </w:rPr>
              <w:fldChar w:fldCharType="separate"/>
            </w:r>
            <w:r>
              <w:rPr>
                <w:webHidden/>
                <w:rStyle w:val="Style46"/>
                <w:rFonts w:cs="Times New Roman" w:ascii="Times New Roman" w:hAnsi="Times New Roman"/>
                <w:vanish w:val="false"/>
              </w:rPr>
              <w:t>Статья 86. Материалы для строительства</w:t>
              <w:tab/>
              <w:t>255</w:t>
            </w:r>
            <w:r>
              <w:rPr>
                <w:webHidden/>
              </w:rPr>
              <w:fldChar w:fldCharType="end"/>
            </w:r>
          </w:hyperlink>
        </w:p>
        <w:p>
          <w:pPr>
            <w:pStyle w:val="213"/>
            <w:tabs>
              <w:tab w:val="right" w:pos="9770" w:leader="dot"/>
            </w:tabs>
            <w:jc w:val="both"/>
            <w:rPr/>
          </w:pPr>
          <w:hyperlink w:anchor="_Toc424230736">
            <w:r>
              <w:rPr>
                <w:webHidden/>
                <w:rStyle w:val="Style46"/>
                <w:rFonts w:cs="Times New Roman" w:ascii="Times New Roman" w:hAnsi="Times New Roman"/>
                <w:i/>
                <w:vanish w:val="false"/>
                <w:lang w:bidi="ru-RU"/>
              </w:rPr>
              <w:t>Глава 19. Архитектурные особенности туристических деревень</w:t>
            </w:r>
            <w:r>
              <w:rPr>
                <w:webHidden/>
              </w:rPr>
              <w:fldChar w:fldCharType="begin"/>
            </w:r>
            <w:r>
              <w:rPr>
                <w:webHidden/>
              </w:rPr>
              <w:instrText>PAGEREF _Toc424230736 \h</w:instrText>
            </w:r>
            <w:r>
              <w:rPr>
                <w:webHidden/>
              </w:rPr>
              <w:fldChar w:fldCharType="separate"/>
            </w:r>
            <w:r>
              <w:rPr>
                <w:rStyle w:val="Style46"/>
                <w:rFonts w:cs="Times New Roman" w:ascii="Times New Roman" w:hAnsi="Times New Roman"/>
                <w:i/>
                <w:vanish w:val="false"/>
              </w:rPr>
              <w:tab/>
              <w:t>256</w:t>
            </w:r>
            <w:r>
              <w:rPr>
                <w:webHidden/>
              </w:rPr>
              <w:fldChar w:fldCharType="end"/>
            </w:r>
          </w:hyperlink>
        </w:p>
        <w:p>
          <w:pPr>
            <w:pStyle w:val="213"/>
            <w:tabs>
              <w:tab w:val="right" w:pos="9770" w:leader="dot"/>
            </w:tabs>
            <w:jc w:val="both"/>
            <w:rPr/>
          </w:pPr>
          <w:hyperlink w:anchor="_Toc424230737">
            <w:r>
              <w:rPr>
                <w:webHidden/>
              </w:rPr>
              <w:fldChar w:fldCharType="begin"/>
            </w:r>
            <w:r>
              <w:rPr>
                <w:webHidden/>
              </w:rPr>
              <w:instrText>PAGEREF _Toc424230737 \h</w:instrText>
            </w:r>
            <w:r>
              <w:rPr>
                <w:webHidden/>
              </w:rPr>
              <w:fldChar w:fldCharType="separate"/>
            </w:r>
            <w:r>
              <w:rPr>
                <w:webHidden/>
                <w:rStyle w:val="Style46"/>
                <w:rFonts w:cs="Times New Roman" w:ascii="Times New Roman" w:hAnsi="Times New Roman"/>
                <w:i/>
                <w:vanish w:val="false"/>
              </w:rPr>
              <w:t>Статья 87. Требования к архитектурному стилю туристической деревни Романтик</w:t>
              <w:tab/>
              <w:t>256</w:t>
            </w:r>
            <w:r>
              <w:rPr>
                <w:webHidden/>
              </w:rPr>
              <w:fldChar w:fldCharType="end"/>
            </w:r>
          </w:hyperlink>
        </w:p>
        <w:p>
          <w:pPr>
            <w:pStyle w:val="310"/>
            <w:tabs>
              <w:tab w:val="right" w:pos="9770" w:leader="dot"/>
            </w:tabs>
            <w:jc w:val="both"/>
            <w:rPr/>
          </w:pPr>
          <w:hyperlink w:anchor="_Toc424230738">
            <w:r>
              <w:rPr>
                <w:webHidden/>
              </w:rPr>
              <w:fldChar w:fldCharType="begin"/>
            </w:r>
            <w:r>
              <w:rPr>
                <w:webHidden/>
              </w:rPr>
              <w:instrText>PAGEREF _Toc424230738 \h</w:instrText>
            </w:r>
            <w:r>
              <w:rPr>
                <w:webHidden/>
              </w:rPr>
              <w:fldChar w:fldCharType="separate"/>
            </w:r>
            <w:r>
              <w:rPr>
                <w:webHidden/>
                <w:rStyle w:val="Style46"/>
                <w:rFonts w:cs="Times New Roman" w:ascii="Times New Roman" w:hAnsi="Times New Roman"/>
                <w:vanish w:val="false"/>
              </w:rPr>
              <w:t>Статья 88. Требования к архитектурному стилю туристической деревни Дукка</w:t>
              <w:tab/>
              <w:t>259</w:t>
            </w:r>
            <w:r>
              <w:rPr>
                <w:webHidden/>
              </w:rPr>
              <w:fldChar w:fldCharType="end"/>
            </w:r>
          </w:hyperlink>
        </w:p>
        <w:p>
          <w:pPr>
            <w:pStyle w:val="310"/>
            <w:tabs>
              <w:tab w:val="right" w:pos="9770" w:leader="dot"/>
            </w:tabs>
            <w:jc w:val="both"/>
            <w:rPr/>
          </w:pPr>
          <w:hyperlink w:anchor="_Toc424230739">
            <w:r>
              <w:rPr>
                <w:webHidden/>
              </w:rPr>
              <w:fldChar w:fldCharType="begin"/>
            </w:r>
            <w:r>
              <w:rPr>
                <w:webHidden/>
              </w:rPr>
              <w:instrText>PAGEREF _Toc424230739 \h</w:instrText>
            </w:r>
            <w:r>
              <w:rPr>
                <w:webHidden/>
              </w:rPr>
              <w:fldChar w:fldCharType="separate"/>
            </w:r>
            <w:r>
              <w:rPr>
                <w:webHidden/>
                <w:rStyle w:val="Style46"/>
                <w:rFonts w:cs="Times New Roman" w:ascii="Times New Roman" w:hAnsi="Times New Roman"/>
                <w:vanish w:val="false"/>
              </w:rPr>
              <w:t>Статья 89. Требования к архитектурному стилю туристической деревни Лунная Поляна</w:t>
              <w:tab/>
              <w:t>262</w:t>
            </w:r>
            <w:r>
              <w:rPr>
                <w:webHidden/>
              </w:rPr>
              <w:fldChar w:fldCharType="end"/>
            </w:r>
          </w:hyperlink>
        </w:p>
        <w:p>
          <w:pPr>
            <w:pStyle w:val="310"/>
            <w:tabs>
              <w:tab w:val="right" w:pos="9770" w:leader="dot"/>
            </w:tabs>
            <w:jc w:val="both"/>
            <w:rPr/>
          </w:pPr>
          <w:hyperlink w:anchor="_Toc424230740">
            <w:r>
              <w:rPr>
                <w:webHidden/>
              </w:rPr>
              <w:fldChar w:fldCharType="begin"/>
            </w:r>
            <w:r>
              <w:rPr>
                <w:webHidden/>
              </w:rPr>
              <w:instrText>PAGEREF _Toc424230740 \h</w:instrText>
            </w:r>
            <w:r>
              <w:rPr>
                <w:webHidden/>
              </w:rPr>
              <w:fldChar w:fldCharType="separate"/>
            </w:r>
            <w:r>
              <w:rPr>
                <w:webHidden/>
                <w:rStyle w:val="Style46"/>
                <w:rFonts w:cs="Times New Roman" w:ascii="Times New Roman" w:hAnsi="Times New Roman"/>
                <w:vanish w:val="false"/>
              </w:rPr>
              <w:t>Статья 90. Требования к архитектурному стилю туристической деревни Дукка -2000</w:t>
              <w:tab/>
              <w:t>265</w:t>
            </w:r>
            <w:r>
              <w:rPr>
                <w:webHidden/>
              </w:rPr>
              <w:fldChar w:fldCharType="end"/>
            </w:r>
          </w:hyperlink>
        </w:p>
        <w:p>
          <w:pPr>
            <w:pStyle w:val="310"/>
            <w:tabs>
              <w:tab w:val="right" w:pos="9770" w:leader="dot"/>
            </w:tabs>
            <w:jc w:val="both"/>
            <w:rPr/>
          </w:pPr>
          <w:hyperlink w:anchor="_Toc424230741">
            <w:r>
              <w:rPr>
                <w:webHidden/>
              </w:rPr>
              <w:fldChar w:fldCharType="begin"/>
            </w:r>
            <w:r>
              <w:rPr>
                <w:webHidden/>
              </w:rPr>
              <w:instrText>PAGEREF _Toc424230741 \h</w:instrText>
            </w:r>
            <w:r>
              <w:rPr>
                <w:webHidden/>
              </w:rPr>
              <w:fldChar w:fldCharType="separate"/>
            </w:r>
            <w:r>
              <w:rPr>
                <w:webHidden/>
                <w:rStyle w:val="Style46"/>
                <w:rFonts w:cs="Times New Roman" w:ascii="Times New Roman" w:hAnsi="Times New Roman"/>
                <w:vanish w:val="false"/>
              </w:rPr>
              <w:t>Статья 91. Требования к архитектурному стилю туристической деревни Пхия-2200</w:t>
              <w:tab/>
              <w:t>269</w:t>
            </w:r>
            <w:r>
              <w:rPr>
                <w:webHidden/>
              </w:rPr>
              <w:fldChar w:fldCharType="end"/>
            </w:r>
          </w:hyperlink>
        </w:p>
        <w:p>
          <w:pPr>
            <w:pStyle w:val="15"/>
            <w:tabs>
              <w:tab w:val="right" w:pos="9770" w:leader="dot"/>
            </w:tabs>
            <w:jc w:val="both"/>
            <w:rPr/>
          </w:pPr>
          <w:hyperlink w:anchor="_Toc424230742">
            <w:r>
              <w:rPr>
                <w:webHidden/>
              </w:rPr>
              <w:fldChar w:fldCharType="begin"/>
            </w:r>
            <w:r>
              <w:rPr>
                <w:webHidden/>
              </w:rPr>
              <w:instrText>PAGEREF _Toc424230742 \h</w:instrText>
            </w:r>
            <w:r>
              <w:rPr>
                <w:webHidden/>
              </w:rPr>
              <w:fldChar w:fldCharType="separate"/>
            </w:r>
            <w:r>
              <w:rPr>
                <w:webHidden/>
                <w:rStyle w:val="Style46"/>
                <w:rFonts w:cs="Times New Roman" w:ascii="Times New Roman" w:hAnsi="Times New Roman"/>
                <w:i/>
                <w:vanish w:val="false"/>
              </w:rPr>
              <w:t>Приложения</w:t>
              <w:tab/>
              <w:t>273</w:t>
            </w:r>
            <w:r>
              <w:rPr>
                <w:webHidden/>
              </w:rPr>
              <w:fldChar w:fldCharType="end"/>
            </w:r>
          </w:hyperlink>
        </w:p>
        <w:p>
          <w:pPr>
            <w:pStyle w:val="Normal"/>
            <w:jc w:val="both"/>
            <w:rPr>
              <w:rFonts w:ascii="Times New Roman" w:hAnsi="Times New Roman" w:cs="Times New Roman"/>
              <w:i/>
              <w:i/>
            </w:rPr>
          </w:pPr>
          <w:r>
            <w:rPr>
              <w:rFonts w:cs="Times New Roman" w:ascii="Times New Roman" w:hAnsi="Times New Roman"/>
              <w:i/>
            </w:rPr>
          </w:r>
          <w:r>
            <w:fldChar w:fldCharType="end"/>
          </w:r>
        </w:p>
      </w:sdtContent>
    </w:sdt>
    <w:p>
      <w:pPr>
        <w:pStyle w:val="Normal"/>
        <w:jc w:val="both"/>
        <w:rPr>
          <w:rFonts w:ascii="Times New Roman" w:hAnsi="Times New Roman" w:cs="Times New Roman"/>
        </w:rPr>
      </w:pPr>
      <w:r>
        <w:rPr>
          <w:rFonts w:cs="Times New Roman" w:ascii="Times New Roman" w:hAnsi="Times New Roman"/>
        </w:rPr>
      </w:r>
    </w:p>
    <w:p>
      <w:pPr>
        <w:pStyle w:val="Normal"/>
        <w:spacing w:lineRule="auto" w:line="259" w:before="0" w:after="160"/>
        <w:jc w:val="both"/>
        <w:rPr>
          <w:rFonts w:ascii="Times New Roman" w:hAnsi="Times New Roman" w:cs="Times New Roman"/>
        </w:rPr>
      </w:pPr>
      <w:r>
        <w:rPr>
          <w:rFonts w:cs="Times New Roman" w:ascii="Times New Roman" w:hAnsi="Times New Roman"/>
        </w:rPr>
      </w:r>
      <w:r>
        <w:br w:type="page"/>
      </w:r>
    </w:p>
    <w:p>
      <w:pPr>
        <w:pStyle w:val="1"/>
        <w:numPr>
          <w:ilvl w:val="0"/>
          <w:numId w:val="0"/>
        </w:numPr>
        <w:ind w:firstLine="567"/>
        <w:jc w:val="both"/>
        <w:rPr/>
      </w:pPr>
      <w:bookmarkStart w:id="186" w:name="_Toc424230627"/>
      <w:bookmarkEnd w:id="186"/>
      <w:r>
        <w:rPr>
          <w:rFonts w:cs="Times New Roman"/>
        </w:rPr>
        <w:t>Часть. 1. Порядок применения Правил использования земельных участков и внесения в них изменений</w:t>
      </w:r>
    </w:p>
    <w:p>
      <w:pPr>
        <w:pStyle w:val="Normal"/>
        <w:ind w:firstLine="567"/>
        <w:jc w:val="both"/>
        <w:rPr>
          <w:rFonts w:ascii="Times New Roman" w:hAnsi="Times New Roman" w:cs="Times New Roman"/>
        </w:rPr>
      </w:pPr>
      <w:r>
        <w:rPr>
          <w:rFonts w:cs="Times New Roman" w:ascii="Times New Roman" w:hAnsi="Times New Roman"/>
        </w:rPr>
      </w:r>
    </w:p>
    <w:p>
      <w:pPr>
        <w:pStyle w:val="2"/>
        <w:numPr>
          <w:ilvl w:val="0"/>
          <w:numId w:val="0"/>
        </w:numPr>
        <w:jc w:val="both"/>
        <w:rPr/>
      </w:pPr>
      <w:bookmarkStart w:id="187" w:name="_Toc424230628"/>
      <w:bookmarkEnd w:id="187"/>
      <w:r>
        <w:rPr>
          <w:rFonts w:cs="Times New Roman"/>
        </w:rPr>
        <w:t>Глава 1. О регулировании землепользования и застройки</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188" w:name="_Toc424230629"/>
      <w:bookmarkStart w:id="189" w:name="_Toc386479634"/>
      <w:r>
        <w:rPr>
          <w:rFonts w:cs="Times New Roman"/>
        </w:rPr>
        <w:t xml:space="preserve">Статья 1. Основные понятия и термины, используемые в </w:t>
      </w:r>
      <w:bookmarkEnd w:id="188"/>
      <w:bookmarkEnd w:id="189"/>
      <w:r>
        <w:rPr>
          <w:rFonts w:cs="Times New Roman"/>
        </w:rPr>
        <w:t>Правилах</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Правила использования земельных участков в границах Всесезонного туристско-рекреационного комплекса «Архыз» особой экономической зоны туристско-рекреационного типа (далее - Правила) - документ градостроительного зонирования территории, устанавливающий градостроительный режим для каждой территориальной зоны индивидуально, с учетом особенностей ее расположения и развития, возможности территориального сочетания различных видов использования земельных участков. Данные Правила содержат порядок применения этого документа и порядок внесения в него изменений.</w:t>
      </w:r>
    </w:p>
    <w:p>
      <w:pPr>
        <w:pStyle w:val="Normal"/>
        <w:ind w:firstLine="567"/>
        <w:jc w:val="both"/>
        <w:rPr/>
      </w:pPr>
      <w:r>
        <w:rPr>
          <w:rFonts w:cs="Times New Roman" w:ascii="Times New Roman" w:hAnsi="Times New Roman"/>
        </w:rPr>
        <w:t>В соответствии с действующим Градостроительным кодексом Российской Федерации порядок использования земельных участков в границах особых экономических зон устанавливается и определяется органом управления особыми экономическими зонами и представлен в настоящих Правилах для территории особой экономической зоны туристско-рекреационного типа «Архыз», расположенной в составе территорий Архызского сельского поселения Зеленчукского муниципального района, Загеданского и Урупского сельских поселений Урупского муниципального района Карачаево-Черкесской Республики.</w:t>
      </w:r>
    </w:p>
    <w:p>
      <w:pPr>
        <w:pStyle w:val="Normal"/>
        <w:ind w:firstLine="567"/>
        <w:jc w:val="both"/>
        <w:rPr/>
      </w:pPr>
      <w:r>
        <w:rPr>
          <w:rFonts w:cs="Times New Roman" w:ascii="Times New Roman" w:hAnsi="Times New Roman"/>
        </w:rPr>
        <w:t>Понятия и термины градостроительного, гражданского, земельного и других отраслей законодательства Российской Федерации, используемые в Правилах, применяются в том значении, в каком они используются в этих отраслях законодательства.</w:t>
      </w:r>
    </w:p>
    <w:p>
      <w:pPr>
        <w:pStyle w:val="Normal"/>
        <w:ind w:firstLine="567"/>
        <w:jc w:val="both"/>
        <w:rPr/>
      </w:pPr>
      <w:r>
        <w:rPr>
          <w:rFonts w:cs="Times New Roman" w:ascii="Times New Roman" w:hAnsi="Times New Roman"/>
        </w:rPr>
        <w:t>2. Для целей настоящих Правил используются следующие понятия:</w:t>
      </w:r>
    </w:p>
    <w:p>
      <w:pPr>
        <w:pStyle w:val="Normal"/>
        <w:ind w:firstLine="567"/>
        <w:jc w:val="both"/>
        <w:rPr/>
      </w:pPr>
      <w:r>
        <w:rPr>
          <w:rFonts w:cs="Times New Roman" w:ascii="Times New Roman" w:hAnsi="Times New Roman"/>
        </w:rPr>
        <w:t>Всесезонный туристско-рекреационный комплекс «Архыз» (далее - ВТРК «Архыз») - территория особой экономической зоны туристско-рекреационного типа «Архыз», находящейся в составе территорий Архызского сельского поселения Зеленчукского муниципального района, Загеданского и Урупского сельских поселений Урупского муниципального района Карачаево-Черкесской Республики;</w:t>
      </w:r>
    </w:p>
    <w:p>
      <w:pPr>
        <w:pStyle w:val="Normal"/>
        <w:ind w:firstLine="567"/>
        <w:jc w:val="both"/>
        <w:rPr/>
      </w:pPr>
      <w:r>
        <w:rPr>
          <w:rFonts w:cs="Times New Roman" w:ascii="Times New Roman" w:hAnsi="Times New Roman"/>
        </w:rPr>
        <w:t>временный объект - сооружение из быстровозводимых сборно-разборных конструкций, перемещение которого возможно без несоразмерного ущерба его назначению (временная постройка, киоск, навес, другие подобные постройки);</w:t>
      </w:r>
    </w:p>
    <w:p>
      <w:pPr>
        <w:pStyle w:val="Normal"/>
        <w:ind w:firstLine="567"/>
        <w:jc w:val="both"/>
        <w:rPr/>
      </w:pPr>
      <w:r>
        <w:rPr>
          <w:rFonts w:cs="Times New Roman" w:ascii="Times New Roman" w:hAnsi="Times New Roman"/>
        </w:rPr>
        <w:t>градостроительная деятельность - деятельность по развитию территории ВТРК «Архыз»,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объектов капитального строительства;</w:t>
      </w:r>
    </w:p>
    <w:p>
      <w:pPr>
        <w:pStyle w:val="Normal"/>
        <w:ind w:firstLine="567"/>
        <w:jc w:val="both"/>
        <w:rPr/>
      </w:pPr>
      <w:r>
        <w:rPr>
          <w:rFonts w:cs="Times New Roman" w:ascii="Times New Roman" w:hAnsi="Times New Roman"/>
        </w:rPr>
        <w:t>градостроительное зонирование - зонирование территории ВТРК «Архыз» в целях определения территориальных зон и установления градостроительных режимов;</w:t>
      </w:r>
    </w:p>
    <w:p>
      <w:pPr>
        <w:pStyle w:val="Normal"/>
        <w:ind w:firstLine="567"/>
        <w:jc w:val="both"/>
        <w:rPr/>
      </w:pPr>
      <w:r>
        <w:rPr>
          <w:rFonts w:cs="Times New Roman" w:ascii="Times New Roman" w:hAnsi="Times New Roman"/>
        </w:rPr>
        <w:t>градостроительный режим (в границах ВТРК «Архыз»)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p>
      <w:pPr>
        <w:pStyle w:val="Normal"/>
        <w:ind w:firstLine="567"/>
        <w:jc w:val="both"/>
        <w:rPr/>
      </w:pPr>
      <w:r>
        <w:rPr>
          <w:rFonts w:cs="Times New Roman" w:ascii="Times New Roman" w:hAnsi="Times New Roman"/>
        </w:rPr>
        <w:t>застройщик - физическое или юридическое лицо, обеспечивающее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pPr>
        <w:pStyle w:val="Normal"/>
        <w:ind w:firstLine="567"/>
        <w:jc w:val="both"/>
        <w:rPr/>
      </w:pPr>
      <w:r>
        <w:rPr>
          <w:rFonts w:cs="Times New Roman" w:ascii="Times New Roman" w:hAnsi="Times New Roman"/>
        </w:rPr>
        <w:t>зоны с особыми условиями использования территорий - санитарно-защитные зоны, зоны охраны объектов культурного наследия (памятников истории и культуры) народов Российской Федерации, водоохранные зоны, иные зоны, устанавливаемые в соответствии с законодательством Российской Федерации;</w:t>
      </w:r>
    </w:p>
    <w:p>
      <w:pPr>
        <w:pStyle w:val="Normal"/>
        <w:ind w:firstLine="567"/>
        <w:jc w:val="both"/>
        <w:rPr/>
      </w:pPr>
      <w:r>
        <w:rPr>
          <w:rFonts w:cs="Times New Roman" w:ascii="Times New Roman" w:hAnsi="Times New Roman"/>
        </w:rPr>
        <w:t>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pPr>
        <w:pStyle w:val="Normal"/>
        <w:ind w:firstLine="567"/>
        <w:jc w:val="both"/>
        <w:rPr/>
      </w:pPr>
      <w:r>
        <w:rPr>
          <w:rFonts w:cs="Times New Roman" w:ascii="Times New Roman" w:hAnsi="Times New Roman"/>
        </w:rPr>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pPr>
        <w:pStyle w:val="Normal"/>
        <w:ind w:firstLine="567"/>
        <w:jc w:val="both"/>
        <w:rPr/>
      </w:pPr>
      <w:r>
        <w:rPr>
          <w:rFonts w:cs="Times New Roman" w:ascii="Times New Roman" w:hAnsi="Times New Roman"/>
        </w:rPr>
        <w:t>красные линии - линии, которые обозначают существующие, планируемые (изменяемые, вновь образуемые) границы территорий общего пользования, границы земельных участков, на которых расположены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w:t>
      </w:r>
    </w:p>
    <w:p>
      <w:pPr>
        <w:pStyle w:val="Normal"/>
        <w:ind w:firstLine="567"/>
        <w:jc w:val="both"/>
        <w:rPr/>
      </w:pPr>
      <w:r>
        <w:rPr>
          <w:rFonts w:cs="Times New Roman" w:ascii="Times New Roman" w:hAnsi="Times New Roman"/>
        </w:rPr>
        <w:t>коэффициент застройки (максимальный процент застройки) - величина, определяемая как максимально допустимое отношение суммарной площади земельного участка, которая может быть застроена ко всей площади земельного участка;</w:t>
      </w:r>
    </w:p>
    <w:p>
      <w:pPr>
        <w:pStyle w:val="Normal"/>
        <w:ind w:firstLine="567"/>
        <w:jc w:val="both"/>
        <w:rPr/>
      </w:pPr>
      <w:r>
        <w:rPr>
          <w:rFonts w:cs="Times New Roman" w:ascii="Times New Roman" w:hAnsi="Times New Roman"/>
        </w:rPr>
        <w:t>коэффициент плотности застройки - отношение площади всех этажей зданий и сооружений к площади участка (квартала);</w:t>
      </w:r>
    </w:p>
    <w:p>
      <w:pPr>
        <w:pStyle w:val="Normal"/>
        <w:ind w:firstLine="567"/>
        <w:jc w:val="both"/>
        <w:rPr/>
      </w:pPr>
      <w:r>
        <w:rPr>
          <w:rFonts w:cs="Times New Roman" w:ascii="Times New Roman" w:hAnsi="Times New Roman"/>
        </w:rPr>
        <w:t>коэффициент свободных территорий - величина, определяемая как минимальное допустимое отношение площади незастроенной территории земельного участка ко всей площади земельного участка;</w:t>
      </w:r>
    </w:p>
    <w:p>
      <w:pPr>
        <w:pStyle w:val="Normal"/>
        <w:ind w:firstLine="567"/>
        <w:jc w:val="both"/>
        <w:rPr/>
      </w:pPr>
      <w:r>
        <w:rPr>
          <w:rFonts w:cs="Times New Roman" w:ascii="Times New Roman" w:hAnsi="Times New Roman"/>
        </w:rPr>
        <w:t>особая экономическая зона – часть территории Российской Федерации, которая определяется Правительством Российской Федерации и на которой действует особый режим осуществления предпринимательской деятельности, а также может применяться процедура свободной таможенной зоны;</w:t>
      </w:r>
    </w:p>
    <w:p>
      <w:pPr>
        <w:pStyle w:val="Normal"/>
        <w:ind w:firstLine="567"/>
        <w:jc w:val="both"/>
        <w:rPr/>
      </w:pPr>
      <w:r>
        <w:rPr>
          <w:rFonts w:cs="Times New Roman" w:ascii="Times New Roman" w:hAnsi="Times New Roman"/>
        </w:rPr>
        <w:t>подзоны - устанавливаемые в пределах территориальных зон ее части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pPr>
        <w:pStyle w:val="Normal"/>
        <w:ind w:firstLine="567"/>
        <w:jc w:val="both"/>
        <w:rPr/>
      </w:pPr>
      <w:r>
        <w:rPr>
          <w:rFonts w:cs="Times New Roman" w:ascii="Times New Roman" w:hAnsi="Times New Roman"/>
        </w:rPr>
        <w:t>предельные размеры земельных участков - максимальные и (или) минимальные размеры земельных участков, указанные в градостроительном режиме соответствующей территориальной зоны;</w:t>
      </w:r>
    </w:p>
    <w:p>
      <w:pPr>
        <w:pStyle w:val="Normal"/>
        <w:ind w:firstLine="567"/>
        <w:jc w:val="both"/>
        <w:rPr/>
      </w:pPr>
      <w:r>
        <w:rPr>
          <w:rFonts w:cs="Times New Roman" w:ascii="Times New Roman" w:hAnsi="Times New Roman"/>
        </w:rPr>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pPr>
        <w:pStyle w:val="Normal"/>
        <w:ind w:firstLine="567"/>
        <w:jc w:val="both"/>
        <w:rPr/>
      </w:pPr>
      <w:r>
        <w:rPr>
          <w:rFonts w:cs="Times New Roman" w:ascii="Times New Roman" w:hAnsi="Times New Roman"/>
        </w:rPr>
        <w:t>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pPr>
        <w:pStyle w:val="Normal"/>
        <w:ind w:firstLine="567"/>
        <w:jc w:val="both"/>
        <w:rPr/>
      </w:pPr>
      <w:r>
        <w:rPr>
          <w:rFonts w:cs="Times New Roman" w:ascii="Times New Roman" w:hAnsi="Times New Roman"/>
        </w:rPr>
        <w:t>строительство - создание зданий, строений, сооружений (в том числе на месте сносимых объектов капитального строительства);</w:t>
      </w:r>
    </w:p>
    <w:p>
      <w:pPr>
        <w:pStyle w:val="Normal"/>
        <w:ind w:firstLine="567"/>
        <w:jc w:val="both"/>
        <w:rPr/>
      </w:pPr>
      <w:r>
        <w:rPr>
          <w:rFonts w:cs="Times New Roman" w:ascii="Times New Roman" w:hAnsi="Times New Roman"/>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скверы, бульвары);</w:t>
      </w:r>
    </w:p>
    <w:p>
      <w:pPr>
        <w:pStyle w:val="Normal"/>
        <w:ind w:firstLine="567"/>
        <w:jc w:val="both"/>
        <w:rPr/>
      </w:pPr>
      <w:r>
        <w:rPr>
          <w:rFonts w:cs="Times New Roman" w:ascii="Times New Roman" w:hAnsi="Times New Roman"/>
        </w:rPr>
        <w:t>территориальные зоны - зоны, для которых в настоящих Правилах определены границы и установлены градостроительные режимы.</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190" w:name="_Toc424230630"/>
      <w:bookmarkStart w:id="191" w:name="_Toc269076848"/>
      <w:bookmarkStart w:id="192" w:name="_Toc269299700"/>
      <w:bookmarkStart w:id="193" w:name="_Toc374722941"/>
      <w:r>
        <w:rPr>
          <w:rFonts w:cs="Times New Roman"/>
        </w:rPr>
        <w:t>Статья 2. Цели введения и примен</w:t>
      </w:r>
      <w:bookmarkEnd w:id="190"/>
      <w:bookmarkEnd w:id="191"/>
      <w:bookmarkEnd w:id="192"/>
      <w:bookmarkEnd w:id="193"/>
      <w:r>
        <w:rPr>
          <w:rFonts w:cs="Times New Roman"/>
        </w:rPr>
        <w:t>ения Правил</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Правила использования земельных участков в границах ВТРК «Архыз» вводят систему регулирования землепользования и застройки, основанную на градостроительном зонировании – делении территории в границах ВТРК «Архыз» на территориальные зоны с установлением для каждой из них единого градостроительного режима по видам и предельным параметрам разрешенного использования земельных участков в границах этих территориальных зон.</w:t>
      </w:r>
    </w:p>
    <w:p>
      <w:pPr>
        <w:pStyle w:val="Normal"/>
        <w:ind w:firstLine="567"/>
        <w:jc w:val="both"/>
        <w:rPr/>
      </w:pPr>
      <w:r>
        <w:rPr>
          <w:rFonts w:cs="Times New Roman" w:ascii="Times New Roman" w:hAnsi="Times New Roman"/>
        </w:rPr>
        <w:t>2. Введение Правил на территории ВТРК «Архыз» направлено на:</w:t>
      </w:r>
    </w:p>
    <w:p>
      <w:pPr>
        <w:pStyle w:val="Normal"/>
        <w:ind w:firstLine="567"/>
        <w:jc w:val="both"/>
        <w:rPr/>
      </w:pPr>
      <w:r>
        <w:rPr>
          <w:rFonts w:cs="Times New Roman" w:ascii="Times New Roman" w:hAnsi="Times New Roman"/>
        </w:rPr>
        <w:t>1) защиту прав физических и юридических лиц в процессе реализаций отношений, возникающих по поводу землепользования и застройки;</w:t>
      </w:r>
    </w:p>
    <w:p>
      <w:pPr>
        <w:pStyle w:val="Normal"/>
        <w:ind w:firstLine="567"/>
        <w:jc w:val="both"/>
        <w:rPr/>
      </w:pPr>
      <w:r>
        <w:rPr>
          <w:rFonts w:cs="Times New Roman" w:ascii="Times New Roman" w:hAnsi="Times New Roman"/>
        </w:rPr>
        <w:t>2) обеспечение открытой информации о правилах и условиях использования земельных участков, осуществлении на них строительства и реконструкции;</w:t>
      </w:r>
    </w:p>
    <w:p>
      <w:pPr>
        <w:pStyle w:val="Normal"/>
        <w:ind w:firstLine="567"/>
        <w:jc w:val="both"/>
        <w:rPr/>
      </w:pPr>
      <w:r>
        <w:rPr>
          <w:rFonts w:cs="Times New Roman" w:ascii="Times New Roman" w:hAnsi="Times New Roman"/>
        </w:rPr>
        <w:t>3) подготовку документов для передачи прав на земельные участки, находящиеся в государственной собственности физическим и юридическим лицам для осуществления строительства, реконструкции объектов недвижимости;</w:t>
      </w:r>
    </w:p>
    <w:p>
      <w:pPr>
        <w:pStyle w:val="Normal"/>
        <w:ind w:firstLine="567"/>
        <w:jc w:val="both"/>
        <w:rPr/>
      </w:pPr>
      <w:r>
        <w:rPr>
          <w:rFonts w:cs="Times New Roman" w:ascii="Times New Roman" w:hAnsi="Times New Roman"/>
        </w:rPr>
        <w:t>4) контроль соответствия проектной документации градостроительным режимам.</w:t>
      </w:r>
    </w:p>
    <w:p>
      <w:pPr>
        <w:pStyle w:val="Normal"/>
        <w:ind w:firstLine="567"/>
        <w:jc w:val="both"/>
        <w:rPr/>
      </w:pPr>
      <w:r>
        <w:rPr>
          <w:rFonts w:cs="Times New Roman" w:ascii="Times New Roman" w:hAnsi="Times New Roman"/>
        </w:rPr>
        <w:t>3. Целью введения системы регулирования землепользования и застройки, основанной на градостроительном зонировании, является:</w:t>
      </w:r>
    </w:p>
    <w:p>
      <w:pPr>
        <w:pStyle w:val="Normal"/>
        <w:ind w:firstLine="567"/>
        <w:jc w:val="both"/>
        <w:rPr/>
      </w:pPr>
      <w:r>
        <w:rPr>
          <w:rFonts w:cs="Times New Roman" w:ascii="Times New Roman" w:hAnsi="Times New Roman"/>
        </w:rPr>
        <w:t>1) создание условий для устойчивого развития территории;</w:t>
      </w:r>
    </w:p>
    <w:p>
      <w:pPr>
        <w:pStyle w:val="Normal"/>
        <w:ind w:firstLine="567"/>
        <w:jc w:val="both"/>
        <w:rPr/>
      </w:pPr>
      <w:r>
        <w:rPr>
          <w:rFonts w:cs="Times New Roman" w:ascii="Times New Roman" w:hAnsi="Times New Roman"/>
        </w:rPr>
        <w:t>2) создание предусмотренных Градостроительным кодексом Российской Федерации правовых условий для планировки территории;</w:t>
      </w:r>
    </w:p>
    <w:p>
      <w:pPr>
        <w:pStyle w:val="Normal"/>
        <w:ind w:firstLine="567"/>
        <w:jc w:val="both"/>
        <w:rPr/>
      </w:pPr>
      <w:r>
        <w:rPr>
          <w:rFonts w:cs="Times New Roman" w:ascii="Times New Roman" w:hAnsi="Times New Roman"/>
        </w:rPr>
        <w:t>3) 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 включая обеспечение равенства прав физических и юридических лиц в процессе реализации отношений, возникающих по поводу землепользования и застройки, и обеспечение открытости информации о правилах и условиях использования земельных участков, осуществления на них строительства и реконструкции;</w:t>
      </w:r>
    </w:p>
    <w:p>
      <w:pPr>
        <w:pStyle w:val="Normal"/>
        <w:ind w:firstLine="567"/>
        <w:jc w:val="both"/>
        <w:rPr/>
      </w:pPr>
      <w:r>
        <w:rPr>
          <w:rFonts w:cs="Times New Roman" w:ascii="Times New Roman" w:hAnsi="Times New Roman"/>
        </w:rPr>
        <w:t>4) 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pPr>
        <w:pStyle w:val="Normal"/>
        <w:ind w:firstLine="567"/>
        <w:jc w:val="both"/>
        <w:rPr/>
      </w:pPr>
      <w:r>
        <w:rPr>
          <w:rFonts w:cs="Times New Roman" w:ascii="Times New Roman" w:hAnsi="Times New Roman"/>
        </w:rPr>
        <w:t>4. Правила регламентируют деятельность должностных, физических и юридических лиц в отношении:</w:t>
      </w:r>
    </w:p>
    <w:p>
      <w:pPr>
        <w:pStyle w:val="Normal"/>
        <w:ind w:firstLine="567"/>
        <w:jc w:val="both"/>
        <w:rPr/>
      </w:pPr>
      <w:r>
        <w:rPr>
          <w:rFonts w:cs="Times New Roman" w:ascii="Times New Roman" w:hAnsi="Times New Roman"/>
        </w:rPr>
        <w:t>1) зонирования территории и установления градостроительных режимов по видам и параметрам разрешенного использования земельных участков, иных объектов недвижимости;</w:t>
      </w:r>
    </w:p>
    <w:p>
      <w:pPr>
        <w:pStyle w:val="Normal"/>
        <w:ind w:firstLine="567"/>
        <w:jc w:val="both"/>
        <w:rPr/>
      </w:pPr>
      <w:r>
        <w:rPr>
          <w:rFonts w:cs="Times New Roman" w:ascii="Times New Roman" w:hAnsi="Times New Roman"/>
        </w:rPr>
        <w:t>2) предоставления прав на земельные участки физическим и юридическим лицам;</w:t>
      </w:r>
    </w:p>
    <w:p>
      <w:pPr>
        <w:pStyle w:val="Normal"/>
        <w:ind w:firstLine="567"/>
        <w:jc w:val="both"/>
        <w:rPr/>
      </w:pPr>
      <w:r>
        <w:rPr>
          <w:rFonts w:cs="Times New Roman" w:ascii="Times New Roman" w:hAnsi="Times New Roman"/>
        </w:rPr>
        <w:t>3) предоставления разрешения на строительство, эксплуатацию вновь построенных, реконструированных объектов;</w:t>
      </w:r>
    </w:p>
    <w:p>
      <w:pPr>
        <w:pStyle w:val="Normal"/>
        <w:ind w:firstLine="567"/>
        <w:jc w:val="both"/>
        <w:rPr/>
      </w:pPr>
      <w:r>
        <w:rPr>
          <w:rFonts w:cs="Times New Roman" w:ascii="Times New Roman" w:hAnsi="Times New Roman"/>
        </w:rPr>
        <w:t>4) контроля за использованием и строительными изменениями объектов недвижимости, применения штрафных санкций в случаях и порядке, установленных законодательством;</w:t>
      </w:r>
    </w:p>
    <w:p>
      <w:pPr>
        <w:pStyle w:val="Normal"/>
        <w:ind w:firstLine="567"/>
        <w:jc w:val="both"/>
        <w:rPr/>
      </w:pPr>
      <w:r>
        <w:rPr>
          <w:rFonts w:cs="Times New Roman" w:ascii="Times New Roman" w:hAnsi="Times New Roman"/>
        </w:rPr>
        <w:t>5) внесения дополнений и изменений в настоящие Правила.</w:t>
      </w:r>
    </w:p>
    <w:p>
      <w:pPr>
        <w:pStyle w:val="Normal"/>
        <w:ind w:firstLine="567"/>
        <w:jc w:val="both"/>
        <w:rPr/>
      </w:pPr>
      <w:r>
        <w:rPr>
          <w:rFonts w:cs="Times New Roman" w:ascii="Times New Roman" w:hAnsi="Times New Roman"/>
        </w:rPr>
        <w:t>5. Настоящие Правила применяются наряду с техническими и иными обязательными требованиями, установленными в соответствии с законодательством в целях обеспечения жизни и здоровья людей, надежности и безопасности зданий, строений и сооружений, сохранение окружающей природной среды, а также иными нормативными правовыми актами особой экономической зоны туристско-рекреационного типа «Архыз» по вопросам регулирования землепользования и застройки в части, не противоречащей настоящим Правилам.</w:t>
      </w:r>
    </w:p>
    <w:p>
      <w:pPr>
        <w:pStyle w:val="Normal"/>
        <w:ind w:firstLine="567"/>
        <w:jc w:val="both"/>
        <w:rPr/>
      </w:pPr>
      <w:r>
        <w:rPr>
          <w:rFonts w:cs="Times New Roman" w:ascii="Times New Roman" w:hAnsi="Times New Roman"/>
        </w:rPr>
        <w:t>6. Настоящие Правила обязательны для должностных, физических и юридических лиц осуществляющих и контролирующих градостроительную деятельность на территории особой экономической зоны туристско-рекреационного типа «Архыз».</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194" w:name="_Toc424230631"/>
      <w:bookmarkEnd w:id="194"/>
      <w:r>
        <w:rPr>
          <w:rFonts w:cs="Times New Roman"/>
        </w:rPr>
        <w:t>Статья 3. Положения, относящиеся к ранее возникшим правам</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Принятые до введения в действие настоящих Правил нормативные правовые акты в отношении территории ВТРК «Архыз» по вопросам землепользования и застройки применяются в части, не противоречащей настоящим Правилам.</w:t>
      </w:r>
    </w:p>
    <w:p>
      <w:pPr>
        <w:pStyle w:val="Normal"/>
        <w:ind w:firstLine="567"/>
        <w:jc w:val="both"/>
        <w:rPr/>
      </w:pPr>
      <w:r>
        <w:rPr>
          <w:rFonts w:cs="Times New Roman" w:ascii="Times New Roman" w:hAnsi="Times New Roman"/>
        </w:rPr>
        <w:t>2. Разрешения на строительство, реконструкцию, выданные физическим и юридическим лицам, до вступления в силу настоящих Правил являются действительными.</w:t>
      </w:r>
    </w:p>
    <w:p>
      <w:pPr>
        <w:pStyle w:val="Normal"/>
        <w:ind w:firstLine="567"/>
        <w:jc w:val="both"/>
        <w:rPr/>
      </w:pPr>
      <w:r>
        <w:rPr>
          <w:rFonts w:cs="Times New Roman" w:ascii="Times New Roman" w:hAnsi="Times New Roman"/>
        </w:rPr>
        <w:t>3. Отношения по поводу самовольного занятия земельных участков, самовольного строительства, использования самовольно занятых земельных участков и самовольных построек регулируются гражданским и земельным законодательством.</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195" w:name="_Toc424230632"/>
      <w:bookmarkEnd w:id="195"/>
      <w:r>
        <w:rPr>
          <w:rFonts w:cs="Times New Roman"/>
        </w:rPr>
        <w:t>Статья 4. Градостроительный режим</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cs="Times New Roman" w:ascii="Times New Roman" w:hAnsi="Times New Roman"/>
        </w:rPr>
        <w:t>1. Градостроительным режимом в границах ВТРК «Архыз»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pPr>
        <w:pStyle w:val="Normal"/>
        <w:ind w:firstLine="567"/>
        <w:jc w:val="both"/>
        <w:rPr/>
      </w:pPr>
      <w:r>
        <w:rPr>
          <w:rFonts w:cs="Times New Roman" w:ascii="Times New Roman" w:hAnsi="Times New Roman"/>
        </w:rPr>
        <w:t>2. В градостроительном режиме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pPr>
        <w:pStyle w:val="Normal"/>
        <w:ind w:firstLine="567"/>
        <w:jc w:val="both"/>
        <w:rPr/>
      </w:pPr>
      <w:r>
        <w:rPr>
          <w:rFonts w:cs="Times New Roman" w:ascii="Times New Roman" w:hAnsi="Times New Roman"/>
        </w:rPr>
        <w:t>1) виды разрешенного использования земельных участков и объектов капитального строительства;</w:t>
      </w:r>
    </w:p>
    <w:p>
      <w:pPr>
        <w:pStyle w:val="Normal"/>
        <w:ind w:firstLine="567"/>
        <w:jc w:val="both"/>
        <w:rPr/>
      </w:pPr>
      <w:r>
        <w:rPr>
          <w:rFonts w:cs="Times New Roman" w:ascii="Times New Roman" w:hAnsi="Times New Roman"/>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ind w:firstLine="567"/>
        <w:jc w:val="both"/>
        <w:rPr/>
      </w:pPr>
      <w:r>
        <w:rPr>
          <w:rFonts w:cs="Times New Roman" w:ascii="Times New Roman" w:hAnsi="Times New Roman"/>
        </w:rPr>
        <w:t>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pPr>
        <w:pStyle w:val="Normal"/>
        <w:ind w:firstLine="567"/>
        <w:jc w:val="both"/>
        <w:rPr/>
      </w:pPr>
      <w:r>
        <w:rPr>
          <w:rFonts w:cs="Times New Roman" w:ascii="Times New Roman" w:hAnsi="Times New Roman"/>
        </w:rPr>
        <w:t>3. Градостроительный режим устанавливается с учетом:</w:t>
      </w:r>
    </w:p>
    <w:p>
      <w:pPr>
        <w:pStyle w:val="Normal"/>
        <w:ind w:firstLine="567"/>
        <w:jc w:val="both"/>
        <w:rPr/>
      </w:pPr>
      <w:r>
        <w:rPr>
          <w:rFonts w:cs="Times New Roman" w:ascii="Times New Roman" w:hAnsi="Times New Roman"/>
        </w:rPr>
        <w:t>1) фактического использования земельных участков и объектов капитального строительства в границах территориальной зоны;</w:t>
      </w:r>
    </w:p>
    <w:p>
      <w:pPr>
        <w:pStyle w:val="Normal"/>
        <w:ind w:firstLine="567"/>
        <w:jc w:val="both"/>
        <w:rPr/>
      </w:pPr>
      <w:r>
        <w:rPr>
          <w:rFonts w:cs="Times New Roman" w:ascii="Times New Roman" w:hAnsi="Times New Roman"/>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pPr>
        <w:pStyle w:val="Normal"/>
        <w:ind w:firstLine="567"/>
        <w:jc w:val="both"/>
        <w:rPr/>
      </w:pPr>
      <w:r>
        <w:rPr>
          <w:rFonts w:cs="Times New Roman" w:ascii="Times New Roman" w:hAnsi="Times New Roman"/>
        </w:rPr>
        <w:t>3) видов территориальных зон;</w:t>
      </w:r>
    </w:p>
    <w:p>
      <w:pPr>
        <w:pStyle w:val="Normal"/>
        <w:ind w:firstLine="567"/>
        <w:jc w:val="both"/>
        <w:rPr/>
      </w:pPr>
      <w:r>
        <w:rPr>
          <w:rFonts w:cs="Times New Roman" w:ascii="Times New Roman" w:hAnsi="Times New Roman"/>
        </w:rPr>
        <w:t>4) требований охраны объектов культурного наследия.</w:t>
      </w:r>
    </w:p>
    <w:p>
      <w:pPr>
        <w:pStyle w:val="Normal"/>
        <w:ind w:firstLine="567"/>
        <w:jc w:val="both"/>
        <w:rPr/>
      </w:pPr>
      <w:r>
        <w:rPr>
          <w:rFonts w:cs="Times New Roman" w:ascii="Times New Roman" w:hAnsi="Times New Roman"/>
        </w:rPr>
        <w:t>4. Действие градостроительного режима, установленного настоящими Правилами, распространяется в равной мере на все земельные участки и объекты капитального строительства, расположенные в пределах границ соответствующей территориальной зоны, обозначенной на основной карте градостроительного зонирования.</w:t>
      </w:r>
    </w:p>
    <w:p>
      <w:pPr>
        <w:pStyle w:val="Normal"/>
        <w:ind w:firstLine="567"/>
        <w:jc w:val="both"/>
        <w:rPr/>
      </w:pPr>
      <w:r>
        <w:rPr>
          <w:rFonts w:cs="Times New Roman" w:ascii="Times New Roman" w:hAnsi="Times New Roman"/>
        </w:rPr>
        <w:t>5. К земельным участкам, иным объектам недвижимости, расположенным одновременно в одной из территориальных зон и в одной или более зонах с особыми условиями использования территорий, применяются градостроительные режимы, установленные для всех этих зон.</w:t>
      </w:r>
    </w:p>
    <w:p>
      <w:pPr>
        <w:pStyle w:val="Normal"/>
        <w:ind w:firstLine="567"/>
        <w:jc w:val="both"/>
        <w:rPr/>
      </w:pPr>
      <w:r>
        <w:rPr>
          <w:rFonts w:cs="Times New Roman" w:ascii="Times New Roman" w:hAnsi="Times New Roman"/>
        </w:rPr>
        <w:t>6. Для каждого земельного участка, иного объекта недвижимости, расположенного в границах ВТРК «Архыз», разрешенным считается такое использование, которое соответствует:</w:t>
      </w:r>
    </w:p>
    <w:p>
      <w:pPr>
        <w:pStyle w:val="Normal"/>
        <w:ind w:firstLine="567"/>
        <w:jc w:val="both"/>
        <w:rPr/>
      </w:pPr>
      <w:r>
        <w:rPr>
          <w:rFonts w:cs="Times New Roman" w:ascii="Times New Roman" w:hAnsi="Times New Roman"/>
        </w:rPr>
        <w:t>1) градостроительному режиму, установленному настоящими Правилами для территориальной зоны (подзоны);</w:t>
      </w:r>
    </w:p>
    <w:p>
      <w:pPr>
        <w:pStyle w:val="Normal"/>
        <w:ind w:firstLine="567"/>
        <w:jc w:val="both"/>
        <w:rPr/>
      </w:pPr>
      <w:r>
        <w:rPr>
          <w:rFonts w:cs="Times New Roman" w:ascii="Times New Roman" w:hAnsi="Times New Roman"/>
        </w:rPr>
        <w:t>2) градостроительному режиму, установленному в соответствии с законодательством Российской Федерации, в пределах границ соответствующей зоны (соответствующих зон) с особыми условиями использования территорий.</w:t>
      </w:r>
    </w:p>
    <w:p>
      <w:pPr>
        <w:pStyle w:val="Normal"/>
        <w:ind w:firstLine="567"/>
        <w:jc w:val="both"/>
        <w:rPr/>
      </w:pPr>
      <w:r>
        <w:rPr>
          <w:rFonts w:cs="Times New Roman" w:ascii="Times New Roman" w:hAnsi="Times New Roman"/>
        </w:rPr>
        <w:t>7. Действие градостроительного режима не распространяется на земельные участки:</w:t>
      </w:r>
    </w:p>
    <w:p>
      <w:pPr>
        <w:pStyle w:val="Normal"/>
        <w:ind w:firstLine="567"/>
        <w:jc w:val="both"/>
        <w:rPr/>
      </w:pPr>
      <w:r>
        <w:rPr>
          <w:rFonts w:cs="Times New Roman" w:ascii="Times New Roman" w:hAnsi="Times New Roman"/>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pPr>
        <w:pStyle w:val="Normal"/>
        <w:ind w:firstLine="567"/>
        <w:jc w:val="both"/>
        <w:rPr/>
      </w:pPr>
      <w:r>
        <w:rPr>
          <w:rFonts w:cs="Times New Roman" w:ascii="Times New Roman" w:hAnsi="Times New Roman"/>
        </w:rPr>
        <w:t>2) в границах территорий общего пользования;</w:t>
      </w:r>
    </w:p>
    <w:p>
      <w:pPr>
        <w:pStyle w:val="Normal"/>
        <w:ind w:firstLine="567"/>
        <w:jc w:val="both"/>
        <w:rPr/>
      </w:pPr>
      <w:r>
        <w:rPr>
          <w:rFonts w:cs="Times New Roman" w:ascii="Times New Roman" w:hAnsi="Times New Roman"/>
        </w:rPr>
        <w:t>3) занятых линейными объектами;</w:t>
      </w:r>
    </w:p>
    <w:p>
      <w:pPr>
        <w:pStyle w:val="Normal"/>
        <w:ind w:firstLine="567"/>
        <w:jc w:val="both"/>
        <w:rPr/>
      </w:pPr>
      <w:r>
        <w:rPr>
          <w:rFonts w:cs="Times New Roman" w:ascii="Times New Roman" w:hAnsi="Times New Roman"/>
        </w:rPr>
        <w:t>4) предоставленных для добычи полезных ископаемых.</w:t>
      </w:r>
    </w:p>
    <w:p>
      <w:pPr>
        <w:pStyle w:val="Normal"/>
        <w:ind w:firstLine="567"/>
        <w:jc w:val="both"/>
        <w:rPr/>
      </w:pPr>
      <w:r>
        <w:rPr>
          <w:rFonts w:cs="Times New Roman" w:ascii="Times New Roman" w:hAnsi="Times New Roman"/>
        </w:rPr>
        <w:t>8. Использование земельных участков, на которые действие градостроительных режимов не распространяется или для которых градостроительные режимы не устанавливаются, определяется уполномоченными федеральными органами исполнительной власти, уполномоченными органами управления ВТРК «Архыз».</w:t>
      </w:r>
    </w:p>
    <w:p>
      <w:pPr>
        <w:pStyle w:val="Normal"/>
        <w:ind w:firstLine="567"/>
        <w:jc w:val="both"/>
        <w:rPr/>
      </w:pPr>
      <w:r>
        <w:rPr>
          <w:rFonts w:cs="Times New Roman" w:ascii="Times New Roman" w:hAnsi="Times New Roman"/>
        </w:rPr>
        <w:t>9. Земельные участки общего пользования, занятые площадями, улицами, проездами, автомобильными дорогами, набережными, скверами, бульварами, водными объектами, пляжами и другими объектами, не подлежат приватизации.</w:t>
      </w:r>
    </w:p>
    <w:p>
      <w:pPr>
        <w:pStyle w:val="Normal"/>
        <w:ind w:firstLine="567"/>
        <w:jc w:val="both"/>
        <w:rPr/>
      </w:pPr>
      <w:bookmarkStart w:id="196" w:name="Par215"/>
      <w:bookmarkEnd w:id="196"/>
      <w:r>
        <w:rPr>
          <w:rFonts w:cs="Times New Roman" w:ascii="Times New Roman" w:hAnsi="Times New Roman"/>
        </w:rPr>
        <w:t>10.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режиму, могут использоваться без установления срока приведения их в соответствие с градостроительным режимом,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pPr>
        <w:pStyle w:val="Normal"/>
        <w:ind w:firstLine="567"/>
        <w:jc w:val="both"/>
        <w:rPr/>
      </w:pPr>
      <w:r>
        <w:rPr>
          <w:rFonts w:cs="Times New Roman" w:ascii="Times New Roman" w:hAnsi="Times New Roman"/>
        </w:rPr>
        <w:t>11. Реконструкция указанных в части 1</w:t>
      </w:r>
      <w:hyperlink w:anchor="Par215">
        <w:r>
          <w:rPr>
            <w:webHidden/>
            <w:rStyle w:val="Style5"/>
            <w:rFonts w:cs="Times New Roman" w:ascii="Times New Roman" w:hAnsi="Times New Roman"/>
            <w:vanish/>
          </w:rPr>
          <w:t>0</w:t>
        </w:r>
      </w:hyperlink>
      <w:r>
        <w:rPr>
          <w:rFonts w:cs="Times New Roman" w:ascii="Times New Roman" w:hAnsi="Times New Roman"/>
        </w:rPr>
        <w:t xml:space="preserve">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режимом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режимом.</w:t>
      </w:r>
    </w:p>
    <w:p>
      <w:pPr>
        <w:pStyle w:val="Normal"/>
        <w:ind w:firstLine="567"/>
        <w:jc w:val="both"/>
        <w:rPr/>
      </w:pPr>
      <w:r>
        <w:rPr>
          <w:rFonts w:cs="Times New Roman" w:ascii="Times New Roman" w:hAnsi="Times New Roman"/>
        </w:rPr>
        <w:t>12. В случае если использование указанных в части 10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pPr>
        <w:pStyle w:val="2"/>
        <w:numPr>
          <w:ilvl w:val="0"/>
          <w:numId w:val="0"/>
        </w:numPr>
        <w:spacing w:lineRule="auto" w:line="240"/>
        <w:jc w:val="both"/>
        <w:rPr/>
      </w:pPr>
      <w:bookmarkStart w:id="197" w:name="_Toc424230633"/>
      <w:bookmarkEnd w:id="197"/>
      <w:r>
        <w:rPr>
          <w:rFonts w:cs="Times New Roman"/>
        </w:rPr>
        <w:t>Глава 2. Об изменении видов разрешенного использования земельных участков и объектов капитального строительства физическими и юридическими лицами</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198" w:name="_Toc386479638"/>
      <w:bookmarkStart w:id="199" w:name="_Toc424230634"/>
      <w:bookmarkEnd w:id="198"/>
      <w:bookmarkEnd w:id="199"/>
      <w:r>
        <w:rPr>
          <w:rFonts w:cs="Times New Roman"/>
        </w:rPr>
        <w:t>Статья 5. Виды разрешенного использования земельных участков и объектов капитального строительства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Разрешенное использование земельных участков и объектов капитального строительства может быть следующих видов:</w:t>
      </w:r>
    </w:p>
    <w:p>
      <w:pPr>
        <w:pStyle w:val="Normal"/>
        <w:ind w:firstLine="567"/>
        <w:jc w:val="both"/>
        <w:rPr/>
      </w:pPr>
      <w:r>
        <w:rPr>
          <w:rFonts w:cs="Times New Roman" w:ascii="Times New Roman" w:hAnsi="Times New Roman"/>
        </w:rPr>
        <w:t>1) основные виды разрешенного использования;</w:t>
      </w:r>
    </w:p>
    <w:p>
      <w:pPr>
        <w:pStyle w:val="Normal"/>
        <w:ind w:firstLine="567"/>
        <w:jc w:val="both"/>
        <w:rPr/>
      </w:pPr>
      <w:r>
        <w:rPr>
          <w:rFonts w:cs="Times New Roman" w:ascii="Times New Roman" w:hAnsi="Times New Roman"/>
        </w:rPr>
        <w:t>2) условно разрешенные виды использования;</w:t>
      </w:r>
    </w:p>
    <w:p>
      <w:pPr>
        <w:pStyle w:val="Normal"/>
        <w:ind w:firstLine="567"/>
        <w:jc w:val="both"/>
        <w:rPr/>
      </w:pPr>
      <w:r>
        <w:rPr>
          <w:rFonts w:cs="Times New Roman" w:ascii="Times New Roman" w:hAnsi="Times New Roman"/>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pPr>
        <w:pStyle w:val="Normal"/>
        <w:ind w:firstLine="567"/>
        <w:jc w:val="both"/>
        <w:rPr/>
      </w:pPr>
      <w:r>
        <w:rPr>
          <w:rFonts w:cs="Times New Roman" w:ascii="Times New Roman" w:hAnsi="Times New Roman"/>
        </w:rPr>
        <w:t>2.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pPr>
        <w:pStyle w:val="Normal"/>
        <w:ind w:firstLine="567"/>
        <w:jc w:val="both"/>
        <w:rPr/>
      </w:pPr>
      <w:r>
        <w:rPr>
          <w:rFonts w:cs="Times New Roman" w:ascii="Times New Roman" w:hAnsi="Times New Roman"/>
        </w:rPr>
        <w:t xml:space="preserve">3.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Градостроительным </w:t>
      </w:r>
      <w:hyperlink r:id="rId64">
        <w:r>
          <w:rPr>
            <w:webHidden/>
            <w:rStyle w:val="Style5"/>
            <w:rFonts w:cs="Times New Roman" w:ascii="Times New Roman" w:hAnsi="Times New Roman"/>
            <w:vanish/>
          </w:rPr>
          <w:t>кодексом</w:t>
        </w:r>
      </w:hyperlink>
      <w:r>
        <w:rPr>
          <w:rFonts w:cs="Times New Roman" w:ascii="Times New Roman" w:hAnsi="Times New Roman"/>
        </w:rPr>
        <w:t xml:space="preserve"> Российской Федерации.</w:t>
      </w:r>
    </w:p>
    <w:p>
      <w:pPr>
        <w:pStyle w:val="Normal"/>
        <w:ind w:firstLine="567"/>
        <w:jc w:val="both"/>
        <w:rPr/>
      </w:pPr>
      <w:r>
        <w:rPr>
          <w:rFonts w:cs="Times New Roman" w:ascii="Times New Roman" w:hAnsi="Times New Roman"/>
        </w:rPr>
        <w:t>4. Физическое или юридическое лицо вправе оспорить в суде решение о предоставлении разрешения на условно разрешенный вид использования земельного участка или объекта капитального строительства либо об отказе в предоставлении такого разрешения.</w:t>
      </w:r>
    </w:p>
    <w:p>
      <w:pPr>
        <w:pStyle w:val="Normal"/>
        <w:ind w:firstLine="567"/>
        <w:jc w:val="both"/>
        <w:rPr/>
      </w:pPr>
      <w:r>
        <w:rPr>
          <w:rFonts w:cs="Times New Roman" w:ascii="Times New Roman" w:hAnsi="Times New Roman"/>
        </w:rPr>
        <w:t>5. Инженерно-технические объекты, сооружения и коммуникации, обеспечивающие реализацию разрешенного использования для отдельных земельных участков (электро-, газо-, тепло-, водоснабжение, канализация, телефонизация и т.д.), являются всегда разрешенными при условии соответствия строительным, противопожарным, санитарно-эпидемиологическим нормам и правилам, технологическим стандартам безопасности, а также решениям Проекта планировки территории ВТРК «Архыз» в части схемы инженерного оборудования территории.</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00" w:name="_Toc386479639"/>
      <w:bookmarkStart w:id="201" w:name="_Toc424230635"/>
      <w:bookmarkEnd w:id="200"/>
      <w:bookmarkEnd w:id="201"/>
      <w:r>
        <w:rPr>
          <w:rFonts w:cs="Times New Roman"/>
        </w:rPr>
        <w:t>Статья 6.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bookmarkStart w:id="202" w:name="Par234"/>
      <w:bookmarkEnd w:id="202"/>
      <w:r>
        <w:rPr>
          <w:rFonts w:cs="Times New Roman" w:ascii="Times New Roman" w:hAnsi="Times New Roman"/>
        </w:rPr>
        <w:t>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могут включать в себя:</w:t>
      </w:r>
    </w:p>
    <w:p>
      <w:pPr>
        <w:pStyle w:val="Normal"/>
        <w:ind w:firstLine="567"/>
        <w:jc w:val="both"/>
        <w:rPr/>
      </w:pPr>
      <w:r>
        <w:rPr>
          <w:rFonts w:cs="Times New Roman" w:ascii="Times New Roman" w:hAnsi="Times New Roman"/>
        </w:rPr>
        <w:t>1) предельные (минимальные и (или) максимальные) размеры земельных участков, в том числе их площадь;</w:t>
      </w:r>
    </w:p>
    <w:p>
      <w:pPr>
        <w:pStyle w:val="Normal"/>
        <w:ind w:firstLine="567"/>
        <w:jc w:val="both"/>
        <w:rPr/>
      </w:pPr>
      <w:r>
        <w:rPr>
          <w:rFonts w:cs="Times New Roman" w:ascii="Times New Roman" w:hAnsi="Times New Roman"/>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pPr>
        <w:pStyle w:val="Normal"/>
        <w:ind w:firstLine="567"/>
        <w:jc w:val="both"/>
        <w:rPr/>
      </w:pPr>
      <w:r>
        <w:rPr>
          <w:rFonts w:cs="Times New Roman" w:ascii="Times New Roman" w:hAnsi="Times New Roman"/>
        </w:rPr>
        <w:t>3) предельное количество этажей или предельную высоту зданий, строений, сооружений;</w:t>
      </w:r>
    </w:p>
    <w:p>
      <w:pPr>
        <w:pStyle w:val="Normal"/>
        <w:ind w:firstLine="567"/>
        <w:jc w:val="both"/>
        <w:rPr/>
      </w:pPr>
      <w:r>
        <w:rPr>
          <w:rFonts w:cs="Times New Roman" w:ascii="Times New Roman" w:hAnsi="Times New Roman"/>
        </w:rPr>
        <w:t>4) коэффициент застройки;</w:t>
      </w:r>
    </w:p>
    <w:p>
      <w:pPr>
        <w:pStyle w:val="Normal"/>
        <w:ind w:firstLine="567"/>
        <w:jc w:val="both"/>
        <w:rPr/>
      </w:pPr>
      <w:r>
        <w:rPr>
          <w:rFonts w:cs="Times New Roman" w:ascii="Times New Roman" w:hAnsi="Times New Roman"/>
        </w:rPr>
        <w:t>5) коэффициент свободных территорий;</w:t>
      </w:r>
    </w:p>
    <w:p>
      <w:pPr>
        <w:pStyle w:val="Normal"/>
        <w:ind w:firstLine="567"/>
        <w:jc w:val="both"/>
        <w:rPr/>
      </w:pPr>
      <w:r>
        <w:rPr>
          <w:rFonts w:cs="Times New Roman" w:ascii="Times New Roman" w:hAnsi="Times New Roman"/>
        </w:rPr>
        <w:t>6) иные показатели.</w:t>
      </w:r>
    </w:p>
    <w:p>
      <w:pPr>
        <w:pStyle w:val="Normal"/>
        <w:ind w:firstLine="567"/>
        <w:jc w:val="both"/>
        <w:rPr/>
      </w:pPr>
      <w:r>
        <w:rPr>
          <w:rFonts w:cs="Times New Roman" w:ascii="Times New Roman" w:hAnsi="Times New Roman"/>
        </w:rPr>
        <w:t xml:space="preserve">2. Применительно к каждой территориальной зоне могут устанавливаться указанные в </w:t>
      </w:r>
      <w:hyperlink w:anchor="Par234">
        <w:r>
          <w:rPr>
            <w:webHidden/>
            <w:rStyle w:val="Style5"/>
            <w:rFonts w:cs="Times New Roman" w:ascii="Times New Roman" w:hAnsi="Times New Roman"/>
            <w:vanish/>
          </w:rPr>
          <w:t>части 1</w:t>
        </w:r>
      </w:hyperlink>
      <w:r>
        <w:rPr>
          <w:rFonts w:cs="Times New Roman" w:ascii="Times New Roman" w:hAnsi="Times New Roman"/>
        </w:rPr>
        <w:t xml:space="preserve"> настоящей статьи размеры и параметры, их сочетания.</w:t>
      </w:r>
    </w:p>
    <w:p>
      <w:pPr>
        <w:pStyle w:val="Normal"/>
        <w:ind w:firstLine="567"/>
        <w:jc w:val="both"/>
        <w:rPr/>
      </w:pPr>
      <w:r>
        <w:rPr>
          <w:rFonts w:cs="Times New Roman" w:ascii="Times New Roman" w:hAnsi="Times New Roman"/>
        </w:rPr>
        <w:t xml:space="preserve">3. 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 </w:t>
      </w:r>
    </w:p>
    <w:p>
      <w:pPr>
        <w:pStyle w:val="Normal"/>
        <w:ind w:firstLine="567"/>
        <w:jc w:val="both"/>
        <w:rPr/>
      </w:pPr>
      <w:r>
        <w:rPr>
          <w:rFonts w:cs="Times New Roman" w:ascii="Times New Roman" w:hAnsi="Times New Roman"/>
        </w:rPr>
        <w:t>4. Минимальные отступы от границ земельных участков (вне зависимости от территориальной зоны) устанавливаются равными – 0 (ноль) метров:</w:t>
      </w:r>
    </w:p>
    <w:p>
      <w:pPr>
        <w:pStyle w:val="Normal"/>
        <w:ind w:firstLine="567"/>
        <w:jc w:val="both"/>
        <w:rPr/>
      </w:pPr>
      <w:r>
        <w:rPr>
          <w:rFonts w:cs="Times New Roman" w:ascii="Times New Roman" w:hAnsi="Times New Roman"/>
        </w:rPr>
        <w:t>- для многоконтурных земельных участков (в отношении границ внутреннего контура земельных участков);</w:t>
      </w:r>
    </w:p>
    <w:p>
      <w:pPr>
        <w:pStyle w:val="Normal"/>
        <w:ind w:firstLine="567"/>
        <w:jc w:val="both"/>
        <w:rPr/>
      </w:pPr>
      <w:r>
        <w:rPr>
          <w:rFonts w:cs="Times New Roman" w:ascii="Times New Roman" w:hAnsi="Times New Roman"/>
        </w:rPr>
        <w:t>- в отношении общей границы смежных земельных участков, находящихся в аренде единственного физического или юридического лица.</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03" w:name="_Toc269076883"/>
      <w:bookmarkStart w:id="204" w:name="_Toc269299735"/>
      <w:bookmarkStart w:id="205" w:name="_Toc379784297"/>
      <w:bookmarkStart w:id="206" w:name="_Toc386479642"/>
      <w:bookmarkStart w:id="207" w:name="_Toc424230636"/>
      <w:bookmarkStart w:id="208" w:name="Par259"/>
      <w:bookmarkEnd w:id="203"/>
      <w:bookmarkEnd w:id="204"/>
      <w:bookmarkEnd w:id="205"/>
      <w:bookmarkEnd w:id="206"/>
      <w:bookmarkEnd w:id="207"/>
      <w:bookmarkEnd w:id="208"/>
      <w:r>
        <w:rPr>
          <w:rFonts w:cs="Times New Roman"/>
        </w:rPr>
        <w:t>Статья 7. 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режима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Правообладатели земельных участков и объектов капитального строительства осуществляют изменения видов разрешённого использования земельных участков и объектов капитального строительства:</w:t>
      </w:r>
    </w:p>
    <w:p>
      <w:pPr>
        <w:pStyle w:val="ListParagraph"/>
        <w:numPr>
          <w:ilvl w:val="0"/>
          <w:numId w:val="3"/>
        </w:numPr>
        <w:spacing w:lineRule="auto" w:line="240" w:before="0" w:after="0"/>
        <w:ind w:left="0" w:firstLine="567"/>
        <w:jc w:val="both"/>
        <w:rPr/>
      </w:pPr>
      <w:r>
        <w:rPr>
          <w:rFonts w:ascii="Times New Roman" w:hAnsi="Times New Roman"/>
          <w:sz w:val="24"/>
          <w:szCs w:val="24"/>
        </w:rPr>
        <w:t>без дополнительных согласований и разрешений в случаях:</w:t>
      </w:r>
    </w:p>
    <w:p>
      <w:pPr>
        <w:pStyle w:val="ListParagraph"/>
        <w:numPr>
          <w:ilvl w:val="0"/>
          <w:numId w:val="4"/>
        </w:numPr>
        <w:spacing w:lineRule="auto" w:line="240" w:before="0" w:after="0"/>
        <w:ind w:left="0" w:firstLine="567"/>
        <w:jc w:val="both"/>
        <w:rPr/>
      </w:pPr>
      <w:r>
        <w:rPr>
          <w:rFonts w:ascii="Times New Roman" w:hAnsi="Times New Roman"/>
          <w:sz w:val="24"/>
          <w:szCs w:val="24"/>
        </w:rPr>
        <w:t>когда один из указанных в градостроительном режиме основных видов разрешённого использования земельного участка, объекта капитального строительства заменяется другим основным видом;</w:t>
      </w:r>
    </w:p>
    <w:p>
      <w:pPr>
        <w:pStyle w:val="ListParagraph"/>
        <w:numPr>
          <w:ilvl w:val="0"/>
          <w:numId w:val="4"/>
        </w:numPr>
        <w:spacing w:lineRule="auto" w:line="240" w:before="0" w:after="0"/>
        <w:ind w:left="0" w:firstLine="567"/>
        <w:jc w:val="both"/>
        <w:rPr/>
      </w:pPr>
      <w:r>
        <w:rPr>
          <w:rFonts w:ascii="Times New Roman" w:hAnsi="Times New Roman"/>
          <w:sz w:val="24"/>
          <w:szCs w:val="24"/>
        </w:rPr>
        <w:t>когда один из указанных в градостроительном режиме вспомогательных видов разрешённого использования земельного участка, объекта капитального строительства заменяется другим вспомогательным видом;</w:t>
      </w:r>
    </w:p>
    <w:p>
      <w:pPr>
        <w:pStyle w:val="ListParagraph"/>
        <w:numPr>
          <w:ilvl w:val="0"/>
          <w:numId w:val="4"/>
        </w:numPr>
        <w:spacing w:lineRule="auto" w:line="240" w:before="0" w:after="0"/>
        <w:ind w:left="0" w:firstLine="567"/>
        <w:jc w:val="both"/>
        <w:rPr/>
      </w:pPr>
      <w:r>
        <w:rPr>
          <w:rFonts w:ascii="Times New Roman" w:hAnsi="Times New Roman"/>
          <w:sz w:val="24"/>
          <w:szCs w:val="24"/>
        </w:rPr>
        <w:t>когда изменения, указанные в двух предыдущих подпунктах пункта 1,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w:t>
      </w:r>
    </w:p>
    <w:p>
      <w:pPr>
        <w:pStyle w:val="ListParagraph"/>
        <w:numPr>
          <w:ilvl w:val="0"/>
          <w:numId w:val="3"/>
        </w:numPr>
        <w:spacing w:lineRule="auto" w:line="240" w:before="0" w:after="0"/>
        <w:ind w:left="0" w:firstLine="567"/>
        <w:jc w:val="both"/>
        <w:rPr/>
      </w:pPr>
      <w:r>
        <w:rPr>
          <w:rFonts w:ascii="Times New Roman" w:hAnsi="Times New Roman"/>
          <w:sz w:val="24"/>
          <w:szCs w:val="24"/>
        </w:rPr>
        <w:t>при условии получения соответствующих разрешений, согласований в случаях, установленных законодательством при осуществлении перепланировки помещений, конструктивных и инженерно-технических преобразований объектов капитального строительства, в том числе в области обеспечения санитарно-эпидемиологического благополучия населения, противопожарной безопасности;</w:t>
      </w:r>
    </w:p>
    <w:p>
      <w:pPr>
        <w:pStyle w:val="ListParagraph"/>
        <w:numPr>
          <w:ilvl w:val="0"/>
          <w:numId w:val="3"/>
        </w:numPr>
        <w:spacing w:lineRule="auto" w:line="240" w:before="0" w:after="0"/>
        <w:ind w:left="0" w:firstLine="567"/>
        <w:jc w:val="both"/>
        <w:rPr/>
      </w:pPr>
      <w:r>
        <w:rPr>
          <w:rFonts w:ascii="Times New Roman" w:hAnsi="Times New Roman"/>
          <w:sz w:val="24"/>
          <w:szCs w:val="24"/>
        </w:rPr>
        <w:t>при условии получения соответствующих разрешений, согласований в случаях, установленных законодательством на территориях зон с особыми условиями использования земельных участков на которых устанавливается специальный режим осуществления хозяйственной и иной деятельности (водоохранные зоны, прибрежные защитные полосы, зоны затопления, подтопления).</w:t>
      </w:r>
    </w:p>
    <w:p>
      <w:pPr>
        <w:pStyle w:val="Normal"/>
        <w:ind w:firstLine="567"/>
        <w:jc w:val="both"/>
        <w:rPr/>
      </w:pPr>
      <w:r>
        <w:rPr>
          <w:rFonts w:cs="Times New Roman" w:ascii="Times New Roman" w:hAnsi="Times New Roman"/>
        </w:rPr>
        <w:t>2. Изменение видов разрешённого использования объектов капитального строительства, связанные с переводом помещений из категории жилых помещений в категорию нежилых помещений или из категории нежилых помещений категорию жилых помещений осуществляется в соответствии с жилищным законодательством.</w:t>
      </w:r>
    </w:p>
    <w:p>
      <w:pPr>
        <w:pStyle w:val="Normal"/>
        <w:ind w:firstLine="567"/>
        <w:jc w:val="both"/>
        <w:rPr>
          <w:rFonts w:ascii="Times New Roman" w:hAnsi="Times New Roman" w:cs="Times New Roman"/>
        </w:rPr>
      </w:pPr>
      <w:r>
        <w:rPr>
          <w:rFonts w:cs="Times New Roman" w:ascii="Times New Roman" w:hAnsi="Times New Roman"/>
        </w:rPr>
      </w:r>
    </w:p>
    <w:p>
      <w:pPr>
        <w:pStyle w:val="2"/>
        <w:numPr>
          <w:ilvl w:val="0"/>
          <w:numId w:val="0"/>
        </w:numPr>
        <w:jc w:val="both"/>
        <w:rPr/>
      </w:pPr>
      <w:bookmarkStart w:id="209" w:name="_Toc424230637"/>
      <w:bookmarkEnd w:id="209"/>
      <w:r>
        <w:rPr>
          <w:rFonts w:cs="Times New Roman"/>
        </w:rPr>
        <w:t>Глава 3. О подготовке градостроительных планов земельных участков</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10" w:name="bookmark3"/>
      <w:bookmarkStart w:id="211" w:name="_Toc424230638"/>
      <w:bookmarkEnd w:id="210"/>
      <w:bookmarkEnd w:id="211"/>
      <w:r>
        <w:rPr>
          <w:rFonts w:cs="Times New Roman"/>
        </w:rPr>
        <w:t>Статья 8. Градостроительные планы земельных участков</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Назначение и содержание градостроительных планов определяется Градостроительным кодексом Российской Федерации. Форма градостроительного плана земельного участка определяется Правительством Российской Федерации.</w:t>
      </w:r>
    </w:p>
    <w:p>
      <w:pPr>
        <w:pStyle w:val="Normal"/>
        <w:ind w:firstLine="567"/>
        <w:jc w:val="both"/>
        <w:rPr/>
      </w:pPr>
      <w:r>
        <w:rPr>
          <w:rFonts w:cs="Times New Roman" w:ascii="Times New Roman" w:hAnsi="Times New Roman"/>
        </w:rPr>
        <w:t>2. Градостроительные планы земельных участков утверждаются в установленном порядке:</w:t>
      </w:r>
    </w:p>
    <w:p>
      <w:pPr>
        <w:pStyle w:val="Normal"/>
        <w:ind w:firstLine="567"/>
        <w:jc w:val="both"/>
        <w:rPr/>
      </w:pPr>
      <w:r>
        <w:rPr>
          <w:rFonts w:cs="Times New Roman" w:ascii="Times New Roman" w:hAnsi="Times New Roman"/>
        </w:rPr>
        <w:t>1) в составе проектов межевания - в случаях, когда подготавливаются основания для формирования из состава государственных земель земельных участков в целях предоставления физическим, юридическим лицам для строительства, а также в случаях планирования реконструкции в границах нескольких земельных участков;</w:t>
      </w:r>
    </w:p>
    <w:p>
      <w:pPr>
        <w:pStyle w:val="Normal"/>
        <w:ind w:firstLine="567"/>
        <w:jc w:val="both"/>
        <w:rPr/>
      </w:pPr>
      <w:r>
        <w:rPr>
          <w:rFonts w:cs="Times New Roman" w:ascii="Times New Roman" w:hAnsi="Times New Roman"/>
        </w:rPr>
        <w:t>2) в качестве самостоятельного документа - в случаях планирования строительства, реконструкции зданий, строений, сооружений в границах ранее сформированных земельных участков, применительно к которым отсутствуют градостроительные планы земельных участков, либо ранее утверждённые градостроительные планы земельных участков не соответствуют настоящим правилам. В указанных случаях градостроительные планы земельных участков предоставляются в порядке и в сроки, определённые градостроительным законодательством.</w:t>
      </w:r>
    </w:p>
    <w:p>
      <w:pPr>
        <w:pStyle w:val="Normal"/>
        <w:ind w:firstLine="567"/>
        <w:jc w:val="both"/>
        <w:rPr/>
      </w:pPr>
      <w:r>
        <w:rPr>
          <w:rFonts w:cs="Times New Roman" w:ascii="Times New Roman" w:hAnsi="Times New Roman"/>
        </w:rPr>
        <w:t>3. В градостроительных планах земельных участков:</w:t>
      </w:r>
    </w:p>
    <w:p>
      <w:pPr>
        <w:pStyle w:val="Normal"/>
        <w:ind w:firstLine="567"/>
        <w:jc w:val="both"/>
        <w:rPr/>
      </w:pPr>
      <w:r>
        <w:rPr>
          <w:rFonts w:cs="Times New Roman" w:ascii="Times New Roman" w:hAnsi="Times New Roman"/>
        </w:rPr>
        <w:t>1) фиксируются границы земельных участков с обозначением координат поворотных точек;</w:t>
      </w:r>
    </w:p>
    <w:p>
      <w:pPr>
        <w:pStyle w:val="Normal"/>
        <w:ind w:firstLine="567"/>
        <w:jc w:val="both"/>
        <w:rPr/>
      </w:pPr>
      <w:r>
        <w:rPr>
          <w:rFonts w:cs="Times New Roman" w:ascii="Times New Roman" w:hAnsi="Times New Roman"/>
        </w:rPr>
        <w:t>2) фиксируются границы зон действия публичных сервитутов, установление которых обусловлено наличием инженерно-технических коммуникаций, необходимостью обеспечения проезда, прохода, установления иных ограничений использования недвижимости в пользу неограниченного круга лиц;</w:t>
      </w:r>
    </w:p>
    <w:p>
      <w:pPr>
        <w:pStyle w:val="Normal"/>
        <w:ind w:firstLine="567"/>
        <w:jc w:val="both"/>
        <w:rPr/>
      </w:pPr>
      <w:r>
        <w:rPr>
          <w:rFonts w:cs="Times New Roman" w:ascii="Times New Roman" w:hAnsi="Times New Roman"/>
        </w:rPr>
        <w:t>3) фиксируются минимальные отступы от границ земельных участков, обозначающие места, за пределом которых запрещается возводить здания, строения, сооружения;</w:t>
      </w:r>
    </w:p>
    <w:p>
      <w:pPr>
        <w:pStyle w:val="Normal"/>
        <w:ind w:firstLine="567"/>
        <w:jc w:val="both"/>
        <w:rPr/>
      </w:pPr>
      <w:r>
        <w:rPr>
          <w:rFonts w:cs="Times New Roman" w:ascii="Times New Roman" w:hAnsi="Times New Roman"/>
        </w:rPr>
        <w:t>4) содержится информация о градостроительных режимах, предоставляемая в виде изложения соответствующих фрагментов текста настоящих Правил, или в виде указания на соответствующие статьи, части статей настоящих Правил;</w:t>
      </w:r>
    </w:p>
    <w:p>
      <w:pPr>
        <w:pStyle w:val="Normal"/>
        <w:ind w:firstLine="567"/>
        <w:jc w:val="both"/>
        <w:rPr/>
      </w:pPr>
      <w:r>
        <w:rPr>
          <w:rFonts w:cs="Times New Roman" w:ascii="Times New Roman" w:hAnsi="Times New Roman"/>
        </w:rPr>
        <w:t>5) содержится информация о наличии расположенных в границах земельного участка зданий, строений, сооружений, которые не соответствуют градостроительному режиму;</w:t>
      </w:r>
    </w:p>
    <w:p>
      <w:pPr>
        <w:pStyle w:val="Normal"/>
        <w:ind w:firstLine="567"/>
        <w:jc w:val="both"/>
        <w:rPr/>
      </w:pPr>
      <w:r>
        <w:rPr>
          <w:rFonts w:cs="Times New Roman" w:ascii="Times New Roman" w:hAnsi="Times New Roman"/>
        </w:rPr>
        <w:t>6) содержится определение допустимости, или недопустимости деления земельного участка на несколько земельных участков меньшего размера;</w:t>
      </w:r>
    </w:p>
    <w:p>
      <w:pPr>
        <w:pStyle w:val="Normal"/>
        <w:ind w:firstLine="567"/>
        <w:jc w:val="both"/>
        <w:rPr/>
      </w:pPr>
      <w:r>
        <w:rPr>
          <w:rFonts w:cs="Times New Roman" w:ascii="Times New Roman" w:hAnsi="Times New Roman"/>
        </w:rPr>
        <w:t>7) фиксируются утверждённые в составе документации по планировке территории границы зон планируемого резервирования, выкупа земельных участков, их частей для реализации государственных нужд.</w:t>
      </w:r>
    </w:p>
    <w:p>
      <w:pPr>
        <w:pStyle w:val="Normal"/>
        <w:ind w:firstLine="567"/>
        <w:jc w:val="both"/>
        <w:rPr/>
      </w:pPr>
      <w:r>
        <w:rPr>
          <w:rFonts w:cs="Times New Roman" w:ascii="Times New Roman" w:hAnsi="Times New Roman"/>
        </w:rPr>
        <w:t>4. Градостроительные планы земельных участков являются обязательным основанием для:</w:t>
      </w:r>
    </w:p>
    <w:p>
      <w:pPr>
        <w:pStyle w:val="Normal"/>
        <w:ind w:firstLine="567"/>
        <w:jc w:val="both"/>
        <w:rPr/>
      </w:pPr>
      <w:r>
        <w:rPr>
          <w:rFonts w:cs="Times New Roman" w:ascii="Times New Roman" w:hAnsi="Times New Roman"/>
        </w:rPr>
        <w:t>1) подготовки проектной документации для строительства, реконструкции;</w:t>
      </w:r>
    </w:p>
    <w:p>
      <w:pPr>
        <w:pStyle w:val="Normal"/>
        <w:ind w:firstLine="567"/>
        <w:jc w:val="both"/>
        <w:rPr/>
      </w:pPr>
      <w:r>
        <w:rPr>
          <w:rFonts w:cs="Times New Roman" w:ascii="Times New Roman" w:hAnsi="Times New Roman"/>
        </w:rPr>
        <w:t>2) выдачи разрешения на строительство;</w:t>
      </w:r>
    </w:p>
    <w:p>
      <w:pPr>
        <w:pStyle w:val="Normal"/>
        <w:ind w:firstLine="567"/>
        <w:jc w:val="both"/>
        <w:rPr/>
      </w:pPr>
      <w:r>
        <w:rPr>
          <w:rFonts w:cs="Times New Roman" w:ascii="Times New Roman" w:hAnsi="Times New Roman"/>
        </w:rPr>
        <w:t>3) выдачи разрешений на ввод объектов в эксплуатацию.</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r>
        <w:br w:type="page"/>
      </w:r>
    </w:p>
    <w:p>
      <w:pPr>
        <w:pStyle w:val="2"/>
        <w:numPr>
          <w:ilvl w:val="0"/>
          <w:numId w:val="0"/>
        </w:numPr>
        <w:ind w:left="567" w:hanging="0"/>
        <w:jc w:val="both"/>
        <w:rPr/>
      </w:pPr>
      <w:bookmarkStart w:id="212" w:name="_Toc424230639"/>
      <w:bookmarkEnd w:id="212"/>
      <w:r>
        <w:rPr>
          <w:rFonts w:cs="Times New Roman"/>
        </w:rPr>
        <w:t>Глава 4. О регулировании иных вопросов землепользования и застройки</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13" w:name="_Toc424230640"/>
      <w:bookmarkEnd w:id="213"/>
      <w:r>
        <w:rPr>
          <w:rFonts w:cs="Times New Roman"/>
        </w:rPr>
        <w:t>Статья 9. Контроль за использованием объектов недвижимости</w:t>
      </w:r>
    </w:p>
    <w:p>
      <w:pPr>
        <w:pStyle w:val="315"/>
        <w:shd w:val="clear" w:color="auto" w:fill="auto"/>
        <w:spacing w:lineRule="exact" w:line="413" w:before="0" w:after="0"/>
        <w:ind w:right="20" w:firstLine="567"/>
        <w:jc w:val="both"/>
        <w:rPr/>
      </w:pPr>
      <w:r>
        <w:rPr/>
      </w:r>
    </w:p>
    <w:p>
      <w:pPr>
        <w:pStyle w:val="Normal"/>
        <w:ind w:firstLine="567"/>
        <w:jc w:val="both"/>
        <w:rPr/>
      </w:pPr>
      <w:r>
        <w:rPr>
          <w:rFonts w:cs="Times New Roman" w:ascii="Times New Roman" w:hAnsi="Times New Roman"/>
        </w:rPr>
        <w:t>1. Контроль за использованием объектов недвижимости осуществляют должностные лица надзорных и контролирующих органов, которым в соответствии с законодательством предоставлены такие полномочия.</w:t>
      </w:r>
    </w:p>
    <w:p>
      <w:pPr>
        <w:pStyle w:val="Normal"/>
        <w:ind w:firstLine="567"/>
        <w:jc w:val="both"/>
        <w:rPr/>
      </w:pPr>
      <w:r>
        <w:rPr>
          <w:rFonts w:cs="Times New Roman" w:ascii="Times New Roman" w:hAnsi="Times New Roman"/>
        </w:rPr>
        <w:t>2. Должностные лица надзорных и контролирующих органов, действуя в соответствии с законодательством, вправе производить наружный и внутренний осмотр объектов недвижимости, получать от правообладателей недвижимости необходимую информацию, знакомиться с документацией, относящейся к использованию и изменению объектов недвижимости.</w:t>
      </w:r>
    </w:p>
    <w:p>
      <w:pPr>
        <w:pStyle w:val="Normal"/>
        <w:ind w:firstLine="567"/>
        <w:jc w:val="both"/>
        <w:rPr/>
      </w:pPr>
      <w:r>
        <w:rPr>
          <w:rFonts w:cs="Times New Roman" w:ascii="Times New Roman" w:hAnsi="Times New Roman"/>
        </w:rPr>
        <w:t>3. Правообладатели объектов недвижимости обязаны оказывать должностным лицам надзорных и контрольных органов, действующим в соответствии с законодательством, содействие в выполнении ими своих обязанностей.</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14" w:name="bookmark10"/>
      <w:bookmarkStart w:id="215" w:name="_Toc424230641"/>
      <w:bookmarkEnd w:id="214"/>
      <w:bookmarkEnd w:id="215"/>
      <w:r>
        <w:rPr>
          <w:rFonts w:cs="Times New Roman"/>
        </w:rPr>
        <w:t>Статья 10. Ответственность за нарушение Правил</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субъекта Российской Федерации, иными нормативными правовыми актами.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r>
        <w:br w:type="page"/>
      </w:r>
    </w:p>
    <w:p>
      <w:pPr>
        <w:pStyle w:val="1"/>
        <w:numPr>
          <w:ilvl w:val="0"/>
          <w:numId w:val="0"/>
        </w:numPr>
        <w:spacing w:lineRule="auto" w:line="240"/>
        <w:ind w:firstLine="567"/>
        <w:jc w:val="both"/>
        <w:rPr/>
      </w:pPr>
      <w:bookmarkStart w:id="216" w:name="_Toc385353903"/>
      <w:bookmarkStart w:id="217" w:name="_Toc424230642"/>
      <w:bookmarkEnd w:id="216"/>
      <w:bookmarkEnd w:id="217"/>
      <w:r>
        <w:rPr>
          <w:rFonts w:cs="Times New Roman"/>
        </w:rPr>
        <w:t>Часть 2. Регулирование землепользования и застройки на основании градостроительного зонирования</w:t>
      </w:r>
    </w:p>
    <w:p>
      <w:pPr>
        <w:pStyle w:val="Normal"/>
        <w:jc w:val="center"/>
        <w:rPr>
          <w:rFonts w:ascii="Times New Roman" w:hAnsi="Times New Roman" w:cs="Times New Roman"/>
        </w:rPr>
      </w:pPr>
      <w:r>
        <w:rPr>
          <w:rFonts w:cs="Times New Roman" w:ascii="Times New Roman" w:hAnsi="Times New Roman"/>
        </w:rPr>
      </w:r>
    </w:p>
    <w:p>
      <w:pPr>
        <w:pStyle w:val="2"/>
        <w:numPr>
          <w:ilvl w:val="0"/>
          <w:numId w:val="0"/>
        </w:numPr>
        <w:rPr/>
      </w:pPr>
      <w:bookmarkStart w:id="218" w:name="_Toc385353904"/>
      <w:bookmarkStart w:id="219" w:name="_Toc424230643"/>
      <w:bookmarkEnd w:id="218"/>
      <w:bookmarkEnd w:id="219"/>
      <w:r>
        <w:rPr>
          <w:rFonts w:cs="Times New Roman"/>
        </w:rPr>
        <w:t>Глава 5. Карта градостроительного зонирования</w:t>
      </w:r>
    </w:p>
    <w:p>
      <w:pPr>
        <w:pStyle w:val="Normal"/>
        <w:jc w:val="center"/>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20" w:name="_Toc385353905"/>
      <w:bookmarkStart w:id="221" w:name="_Toc424230644"/>
      <w:bookmarkEnd w:id="220"/>
      <w:bookmarkEnd w:id="221"/>
      <w:r>
        <w:rPr>
          <w:rFonts w:cs="Times New Roman"/>
        </w:rPr>
        <w:t>Статья 11. Порядок установления границ территориальных зон, зон с особыми условиями использования территорий</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Границы территориальных зон, зон с особыми условиями использования территорий, границы территорий объектов культурного наследия (памятников истории и культуры) народов Российской Федерации (далее - объекты культурного наследия) устанавливаются (отображаются) на следующих картах:</w:t>
      </w:r>
    </w:p>
    <w:p>
      <w:pPr>
        <w:pStyle w:val="Normal"/>
        <w:ind w:firstLine="567"/>
        <w:jc w:val="both"/>
        <w:rPr/>
      </w:pPr>
      <w:r>
        <w:rPr>
          <w:rFonts w:cs="Times New Roman" w:ascii="Times New Roman" w:hAnsi="Times New Roman"/>
        </w:rPr>
        <w:t>1) Карта территории туристско-рекреационной особой экономической зоны на территории Архызского сельского поселения Зеленчукского муниципального района Карачаево-Черкесской Республики;</w:t>
      </w:r>
    </w:p>
    <w:p>
      <w:pPr>
        <w:pStyle w:val="Normal"/>
        <w:ind w:firstLine="567"/>
        <w:jc w:val="both"/>
        <w:rPr/>
      </w:pPr>
      <w:r>
        <w:rPr>
          <w:rFonts w:cs="Times New Roman" w:ascii="Times New Roman" w:hAnsi="Times New Roman"/>
        </w:rPr>
        <w:t>2) Карта территории туристско-рекреационной особой экономической зоны на территории Загеданского сельского поселения Урупского муниципального района Карачаево-Черкесской Республики;</w:t>
      </w:r>
    </w:p>
    <w:p>
      <w:pPr>
        <w:pStyle w:val="Normal"/>
        <w:ind w:firstLine="567"/>
        <w:jc w:val="both"/>
        <w:rPr/>
      </w:pPr>
      <w:r>
        <w:rPr>
          <w:rFonts w:cs="Times New Roman" w:ascii="Times New Roman" w:hAnsi="Times New Roman"/>
        </w:rPr>
        <w:t>3) Карта территории туристско-рекреационной особой экономической зоны на территории Урупского сельского поселения Урупского муниципального района Карачаево-Черкесской Республики;</w:t>
      </w:r>
    </w:p>
    <w:p>
      <w:pPr>
        <w:pStyle w:val="Normal"/>
        <w:ind w:firstLine="567"/>
        <w:jc w:val="both"/>
        <w:rPr/>
      </w:pPr>
      <w:r>
        <w:rPr>
          <w:rFonts w:cs="Times New Roman" w:ascii="Times New Roman" w:hAnsi="Times New Roman"/>
        </w:rPr>
        <w:t>4) Карта градостроительного зонирования. Карта зон с особыми условиями использования территории;</w:t>
      </w:r>
    </w:p>
    <w:p>
      <w:pPr>
        <w:pStyle w:val="Normal"/>
        <w:ind w:firstLine="567"/>
        <w:jc w:val="both"/>
        <w:rPr/>
      </w:pPr>
      <w:r>
        <w:rPr>
          <w:rFonts w:cs="Times New Roman" w:ascii="Times New Roman" w:hAnsi="Times New Roman"/>
        </w:rPr>
        <w:t>5) Карта градостроительного зонирования. Карта зон с особыми условиями использования территории. Туристическая деревня Романтик;</w:t>
      </w:r>
    </w:p>
    <w:p>
      <w:pPr>
        <w:pStyle w:val="Normal"/>
        <w:ind w:firstLine="567"/>
        <w:jc w:val="both"/>
        <w:rPr/>
      </w:pPr>
      <w:r>
        <w:rPr>
          <w:rFonts w:cs="Times New Roman" w:ascii="Times New Roman" w:hAnsi="Times New Roman"/>
        </w:rPr>
        <w:t>6) Карта градостроительного зонирования. Карта зон с особыми условиями использования территории. Туристическая деревня Дукка;</w:t>
      </w:r>
    </w:p>
    <w:p>
      <w:pPr>
        <w:pStyle w:val="Normal"/>
        <w:ind w:firstLine="567"/>
        <w:jc w:val="both"/>
        <w:rPr/>
      </w:pPr>
      <w:r>
        <w:rPr>
          <w:rFonts w:cs="Times New Roman" w:ascii="Times New Roman" w:hAnsi="Times New Roman"/>
        </w:rPr>
        <w:t>7) Карта градостроительного зонирования. Карта зон с особыми условиями использования территории. Туристическая деревня Лунная Поляна;</w:t>
      </w:r>
    </w:p>
    <w:p>
      <w:pPr>
        <w:pStyle w:val="Normal"/>
        <w:ind w:firstLine="567"/>
        <w:jc w:val="both"/>
        <w:rPr/>
      </w:pPr>
      <w:r>
        <w:rPr>
          <w:rFonts w:cs="Times New Roman" w:ascii="Times New Roman" w:hAnsi="Times New Roman"/>
        </w:rPr>
        <w:t>8) Карта градостроительного зонирования. Карта зон с особыми условиями использования территории. Туристическая деревня Дукка-2000;</w:t>
      </w:r>
    </w:p>
    <w:p>
      <w:pPr>
        <w:pStyle w:val="Normal"/>
        <w:ind w:firstLine="567"/>
        <w:jc w:val="both"/>
        <w:rPr/>
      </w:pPr>
      <w:r>
        <w:rPr>
          <w:rFonts w:cs="Times New Roman" w:ascii="Times New Roman" w:hAnsi="Times New Roman"/>
        </w:rPr>
        <w:t>9) Карта градостроительного зонирования. Карта зон с особыми условиями использования территории. Туристическая деревня Пхия-2200;</w:t>
      </w:r>
    </w:p>
    <w:p>
      <w:pPr>
        <w:pStyle w:val="Normal"/>
        <w:ind w:firstLine="567"/>
        <w:jc w:val="both"/>
        <w:rPr/>
      </w:pPr>
      <w:r>
        <w:rPr>
          <w:rFonts w:cs="Times New Roman" w:ascii="Times New Roman" w:hAnsi="Times New Roman"/>
        </w:rPr>
        <w:t>2. Границы территориальных зон устанавливаются на картах градостроительного зонирования и картах зон с особыми условиями использования территории ВТРК «Архыз» и туристических деревень.</w:t>
      </w:r>
    </w:p>
    <w:p>
      <w:pPr>
        <w:pStyle w:val="Normal"/>
        <w:ind w:firstLine="567"/>
        <w:jc w:val="both"/>
        <w:rPr/>
      </w:pPr>
      <w:r>
        <w:rPr>
          <w:rFonts w:cs="Times New Roman" w:ascii="Times New Roman" w:hAnsi="Times New Roman"/>
        </w:rPr>
        <w:t>Территориальные зоны устанавливаются в пределах границ ВТРК «Архыз» на всей его территории.</w:t>
      </w:r>
    </w:p>
    <w:p>
      <w:pPr>
        <w:pStyle w:val="Normal"/>
        <w:ind w:firstLine="567"/>
        <w:jc w:val="both"/>
        <w:rPr/>
      </w:pPr>
      <w:r>
        <w:rPr>
          <w:rFonts w:cs="Times New Roman" w:ascii="Times New Roman" w:hAnsi="Times New Roman"/>
        </w:rPr>
        <w:t>3. Границы территориальных зон должны отвечать требованию принадлежности каждого земельного участка только к одной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Территориальные зоны, как правило, не устанавливаются применительно к одному земельному участку.</w:t>
      </w:r>
    </w:p>
    <w:p>
      <w:pPr>
        <w:pStyle w:val="Normal"/>
        <w:ind w:firstLine="567"/>
        <w:jc w:val="both"/>
        <w:rPr/>
      </w:pPr>
      <w:r>
        <w:rPr>
          <w:rFonts w:cs="Times New Roman" w:ascii="Times New Roman" w:hAnsi="Times New Roman"/>
        </w:rPr>
        <w:t>4. Границы территориальных зон устанавливаются с учетом:</w:t>
      </w:r>
    </w:p>
    <w:p>
      <w:pPr>
        <w:pStyle w:val="Normal"/>
        <w:ind w:firstLine="567"/>
        <w:jc w:val="both"/>
        <w:rPr/>
      </w:pPr>
      <w:r>
        <w:rPr>
          <w:rFonts w:cs="Times New Roman" w:ascii="Times New Roman" w:hAnsi="Times New Roman"/>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pPr>
        <w:pStyle w:val="Normal"/>
        <w:ind w:firstLine="567"/>
        <w:jc w:val="both"/>
        <w:rPr/>
      </w:pPr>
      <w:r>
        <w:rPr>
          <w:rFonts w:cs="Times New Roman" w:ascii="Times New Roman" w:hAnsi="Times New Roman"/>
        </w:rPr>
        <w:t>2) территориальных зон, определенных действующим законодательством;</w:t>
      </w:r>
    </w:p>
    <w:p>
      <w:pPr>
        <w:pStyle w:val="Normal"/>
        <w:ind w:firstLine="567"/>
        <w:jc w:val="both"/>
        <w:rPr/>
      </w:pPr>
      <w:r>
        <w:rPr>
          <w:rFonts w:cs="Times New Roman" w:ascii="Times New Roman" w:hAnsi="Times New Roman"/>
        </w:rPr>
        <w:t>3) сложившейся планировки территории и существующего землепользования;</w:t>
      </w:r>
    </w:p>
    <w:p>
      <w:pPr>
        <w:pStyle w:val="Normal"/>
        <w:ind w:firstLine="567"/>
        <w:jc w:val="both"/>
        <w:rPr/>
      </w:pPr>
      <w:r>
        <w:rPr>
          <w:rFonts w:cs="Times New Roman" w:ascii="Times New Roman" w:hAnsi="Times New Roman"/>
        </w:rPr>
        <w:t>4)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w:t>
      </w:r>
    </w:p>
    <w:p>
      <w:pPr>
        <w:pStyle w:val="Normal"/>
        <w:ind w:firstLine="567"/>
        <w:jc w:val="both"/>
        <w:rPr/>
      </w:pPr>
      <w:r>
        <w:rPr>
          <w:rFonts w:cs="Times New Roman" w:ascii="Times New Roman" w:hAnsi="Times New Roman"/>
        </w:rPr>
        <w:t>5) предотвращения возможности причинения вреда объектам капитального строительства, расположенным на смежных земельных участках.</w:t>
      </w:r>
    </w:p>
    <w:p>
      <w:pPr>
        <w:pStyle w:val="Normal"/>
        <w:ind w:firstLine="567"/>
        <w:jc w:val="both"/>
        <w:rPr/>
      </w:pPr>
      <w:r>
        <w:rPr>
          <w:rFonts w:cs="Times New Roman" w:ascii="Times New Roman" w:hAnsi="Times New Roman"/>
        </w:rPr>
        <w:t>5. Границы территориальных зон могут устанавливаться по:</w:t>
      </w:r>
    </w:p>
    <w:p>
      <w:pPr>
        <w:pStyle w:val="Normal"/>
        <w:ind w:firstLine="567"/>
        <w:jc w:val="both"/>
        <w:rPr/>
      </w:pPr>
      <w:r>
        <w:rPr>
          <w:rFonts w:cs="Times New Roman" w:ascii="Times New Roman" w:hAnsi="Times New Roman"/>
        </w:rPr>
        <w:t>1) линиям магистралей, улиц, проездов, разделяющим транспортные потоки противоположных направлений;</w:t>
      </w:r>
    </w:p>
    <w:p>
      <w:pPr>
        <w:pStyle w:val="Normal"/>
        <w:ind w:firstLine="567"/>
        <w:jc w:val="both"/>
        <w:rPr/>
      </w:pPr>
      <w:r>
        <w:rPr>
          <w:rFonts w:cs="Times New Roman" w:ascii="Times New Roman" w:hAnsi="Times New Roman"/>
        </w:rPr>
        <w:t>2) красным линиям;</w:t>
      </w:r>
    </w:p>
    <w:p>
      <w:pPr>
        <w:pStyle w:val="Normal"/>
        <w:ind w:firstLine="567"/>
        <w:jc w:val="both"/>
        <w:rPr/>
      </w:pPr>
      <w:r>
        <w:rPr>
          <w:rFonts w:cs="Times New Roman" w:ascii="Times New Roman" w:hAnsi="Times New Roman"/>
        </w:rPr>
        <w:t>3) границам земельных участков;</w:t>
      </w:r>
    </w:p>
    <w:p>
      <w:pPr>
        <w:pStyle w:val="Normal"/>
        <w:ind w:firstLine="567"/>
        <w:jc w:val="both"/>
        <w:rPr/>
      </w:pPr>
      <w:r>
        <w:rPr>
          <w:rFonts w:cs="Times New Roman" w:ascii="Times New Roman" w:hAnsi="Times New Roman"/>
        </w:rPr>
        <w:t>4) границам или осям полос отвода линейных объектов;</w:t>
      </w:r>
    </w:p>
    <w:p>
      <w:pPr>
        <w:pStyle w:val="Normal"/>
        <w:ind w:firstLine="567"/>
        <w:jc w:val="both"/>
        <w:rPr/>
      </w:pPr>
      <w:r>
        <w:rPr>
          <w:rFonts w:cs="Times New Roman" w:ascii="Times New Roman" w:hAnsi="Times New Roman"/>
        </w:rPr>
        <w:t>5) границам ВТРК «Архыз», туристических деревень ВТРК «Архыз»;</w:t>
      </w:r>
    </w:p>
    <w:p>
      <w:pPr>
        <w:pStyle w:val="Normal"/>
        <w:ind w:firstLine="567"/>
        <w:jc w:val="both"/>
        <w:rPr/>
      </w:pPr>
      <w:r>
        <w:rPr>
          <w:rFonts w:cs="Times New Roman" w:ascii="Times New Roman" w:hAnsi="Times New Roman"/>
        </w:rPr>
        <w:t>6) естественным границам природных объектов;</w:t>
      </w:r>
    </w:p>
    <w:p>
      <w:pPr>
        <w:pStyle w:val="Normal"/>
        <w:ind w:firstLine="567"/>
        <w:jc w:val="both"/>
        <w:rPr/>
      </w:pPr>
      <w:r>
        <w:rPr>
          <w:rFonts w:cs="Times New Roman" w:ascii="Times New Roman" w:hAnsi="Times New Roman"/>
        </w:rPr>
        <w:t>7) иным границам.</w:t>
      </w:r>
    </w:p>
    <w:p>
      <w:pPr>
        <w:pStyle w:val="Normal"/>
        <w:ind w:firstLine="567"/>
        <w:jc w:val="both"/>
        <w:rPr/>
      </w:pPr>
      <w:r>
        <w:rPr>
          <w:rFonts w:cs="Times New Roman" w:ascii="Times New Roman" w:hAnsi="Times New Roman"/>
        </w:rPr>
        <w:t>6.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pPr>
        <w:pStyle w:val="Normal"/>
        <w:ind w:firstLine="567"/>
        <w:jc w:val="both"/>
        <w:rPr/>
      </w:pPr>
      <w:r>
        <w:rPr>
          <w:rFonts w:cs="Times New Roman" w:ascii="Times New Roman" w:hAnsi="Times New Roman"/>
        </w:rPr>
        <w:t xml:space="preserve">7. Границы санитарно-защитных зон (далее - СЗЗ) и санитарных разрывов (далее - СР), установленные с учётом рекомендуемых минимальных размеров СЗЗ и СР в соответствии с главой </w:t>
      </w:r>
      <w:r>
        <w:rPr>
          <w:rFonts w:cs="Times New Roman" w:ascii="Times New Roman" w:hAnsi="Times New Roman"/>
          <w:lang w:val="en-US"/>
        </w:rPr>
        <w:t>VII</w:t>
      </w:r>
      <w:r>
        <w:rPr>
          <w:rFonts w:cs="Times New Roman" w:ascii="Times New Roman" w:hAnsi="Times New Roman"/>
        </w:rPr>
        <w:t xml:space="preserve"> и приложениями 1–6 </w:t>
      </w:r>
      <w:r>
        <w:rPr>
          <w:rFonts w:eastAsia="Calibri" w:cs="Times New Roman" w:ascii="Times New Roman" w:hAnsi="Times New Roman"/>
        </w:rPr>
        <w:t>СанПиН 2.2.1/2.1.1.1200-03 «</w:t>
      </w:r>
      <w:r>
        <w:rPr>
          <w:rFonts w:cs="Times New Roman" w:ascii="Times New Roman" w:hAnsi="Times New Roman"/>
          <w:bCs/>
        </w:rPr>
        <w:t>Санитарно-защитные зоны и санитарная классификация предприятий, сооружений и иных объектов»</w:t>
      </w:r>
      <w:r>
        <w:rPr>
          <w:rFonts w:eastAsia="Calibri" w:cs="Times New Roman" w:ascii="Times New Roman" w:hAnsi="Times New Roman"/>
        </w:rPr>
        <w:t xml:space="preserve"> (в редакции от 25.04.2014)</w:t>
      </w:r>
      <w:r>
        <w:rPr>
          <w:rFonts w:cs="Times New Roman" w:ascii="Times New Roman" w:hAnsi="Times New Roman"/>
        </w:rPr>
        <w:t xml:space="preserve">, и границы водоохранных зон, прибрежных защитных полос и береговых полос, установленные с учётом ст. 65, а также ч. 6 ст. 6 Водного Кодекса РФ от 03.06.2006 № 74-ФЗ (в редакции </w:t>
      </w:r>
      <w:r>
        <w:rPr>
          <w:rFonts w:cs="Times New Roman" w:ascii="Times New Roman" w:hAnsi="Times New Roman"/>
          <w:szCs w:val="48"/>
        </w:rPr>
        <w:t>от 28.06.2014)</w:t>
      </w:r>
      <w:r>
        <w:rPr>
          <w:rFonts w:cs="Times New Roman" w:ascii="Times New Roman" w:hAnsi="Times New Roman"/>
        </w:rPr>
        <w:t>, отображены на картах зон с особыми условиями использования территорий ВТРК «Архыз» и туристических деревень.</w:t>
      </w:r>
    </w:p>
    <w:p>
      <w:pPr>
        <w:pStyle w:val="Normal"/>
        <w:ind w:firstLine="567"/>
        <w:jc w:val="both"/>
        <w:rPr/>
      </w:pPr>
      <w:r>
        <w:rPr>
          <w:rFonts w:cs="Times New Roman" w:ascii="Times New Roman" w:hAnsi="Times New Roman"/>
        </w:rPr>
        <w:t>8. Границы зон затопления нанесены в соответствии с полученными гидрологическими изысканиями института СевКавГипроводхоз (Пятигорск), выполненными в 2014 году, и занимают территории низких пойм рек Архыз, Большая и Малая Дукка, Пхия и их притоков – ручьев.</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22" w:name="_Toc385353906"/>
      <w:bookmarkStart w:id="223" w:name="_Toc424230645"/>
      <w:bookmarkEnd w:id="222"/>
      <w:bookmarkEnd w:id="223"/>
      <w:r>
        <w:rPr>
          <w:rFonts w:cs="Times New Roman"/>
        </w:rPr>
        <w:t>Статья 12. Виды зон и их кодовые обозначения</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Настоящими Правилами на территории ВТРК «Архыз» устанавливаются следующие виды территориальных зон и их кодовые обозначения:</w:t>
      </w:r>
    </w:p>
    <w:p>
      <w:pPr>
        <w:pStyle w:val="Normal"/>
        <w:ind w:firstLine="567"/>
        <w:jc w:val="both"/>
        <w:rPr/>
      </w:pPr>
      <w:r>
        <w:rPr>
          <w:rFonts w:cs="Times New Roman" w:ascii="Times New Roman" w:hAnsi="Times New Roman"/>
        </w:rPr>
        <w:t>1) общественно-деловые зоны (ОД):</w:t>
      </w:r>
    </w:p>
    <w:p>
      <w:pPr>
        <w:pStyle w:val="Normal"/>
        <w:ind w:firstLine="567"/>
        <w:jc w:val="both"/>
        <w:rPr/>
      </w:pPr>
      <w:r>
        <w:rPr>
          <w:rFonts w:cs="Times New Roman" w:ascii="Times New Roman" w:hAnsi="Times New Roman"/>
        </w:rPr>
        <w:t xml:space="preserve">а) </w:t>
      </w:r>
      <w:bookmarkStart w:id="224" w:name="_Ref263949902"/>
      <w:r>
        <w:rPr>
          <w:rFonts w:cs="Times New Roman" w:ascii="Times New Roman" w:hAnsi="Times New Roman"/>
        </w:rPr>
        <w:t>зона объектов коттеджного типа (ОД 1)</w:t>
      </w:r>
      <w:bookmarkEnd w:id="224"/>
      <w:r>
        <w:rPr>
          <w:rFonts w:cs="Times New Roman" w:ascii="Times New Roman" w:hAnsi="Times New Roman"/>
        </w:rPr>
        <w:t>;</w:t>
      </w:r>
    </w:p>
    <w:p>
      <w:pPr>
        <w:pStyle w:val="Normal"/>
        <w:ind w:firstLine="567"/>
        <w:jc w:val="both"/>
        <w:rPr/>
      </w:pPr>
      <w:bookmarkStart w:id="225" w:name="_Ref263950200"/>
      <w:r>
        <w:rPr>
          <w:rFonts w:cs="Times New Roman" w:ascii="Times New Roman" w:hAnsi="Times New Roman"/>
        </w:rPr>
        <w:t>б) зона апарт-отелей и апартаментов (ОД 2)</w:t>
      </w:r>
      <w:bookmarkEnd w:id="225"/>
      <w:r>
        <w:rPr>
          <w:rFonts w:cs="Times New Roman" w:ascii="Times New Roman" w:hAnsi="Times New Roman"/>
        </w:rPr>
        <w:t>;</w:t>
      </w:r>
    </w:p>
    <w:p>
      <w:pPr>
        <w:pStyle w:val="Normal"/>
        <w:ind w:firstLine="567"/>
        <w:jc w:val="both"/>
        <w:rPr/>
      </w:pPr>
      <w:r>
        <w:rPr>
          <w:rFonts w:cs="Times New Roman" w:ascii="Times New Roman" w:hAnsi="Times New Roman"/>
        </w:rPr>
        <w:t>в) зона гостиниц, объектов общественного и коммерческого назначения (ОД 3);</w:t>
      </w:r>
    </w:p>
    <w:p>
      <w:pPr>
        <w:pStyle w:val="Normal"/>
        <w:ind w:firstLine="567"/>
        <w:jc w:val="both"/>
        <w:rPr/>
      </w:pPr>
      <w:r>
        <w:rPr>
          <w:rFonts w:cs="Times New Roman" w:ascii="Times New Roman" w:hAnsi="Times New Roman"/>
        </w:rPr>
        <w:t>г) зона общежитий для персонала (ОД 4);</w:t>
      </w:r>
    </w:p>
    <w:p>
      <w:pPr>
        <w:pStyle w:val="Normal"/>
        <w:ind w:firstLine="567"/>
        <w:jc w:val="both"/>
        <w:rPr/>
      </w:pPr>
      <w:r>
        <w:rPr>
          <w:rFonts w:cs="Times New Roman" w:ascii="Times New Roman" w:hAnsi="Times New Roman"/>
        </w:rPr>
        <w:t>ж) зона объектов горнолыжной инфраструктуры (ОД 5);</w:t>
      </w:r>
    </w:p>
    <w:p>
      <w:pPr>
        <w:pStyle w:val="Normal"/>
        <w:ind w:firstLine="567"/>
        <w:jc w:val="both"/>
        <w:rPr/>
      </w:pPr>
      <w:r>
        <w:rPr>
          <w:rFonts w:cs="Times New Roman" w:ascii="Times New Roman" w:hAnsi="Times New Roman"/>
        </w:rPr>
        <w:t>з) многофункциональная зона (ОД 6);</w:t>
      </w:r>
    </w:p>
    <w:p>
      <w:pPr>
        <w:pStyle w:val="Normal"/>
        <w:ind w:firstLine="567"/>
        <w:jc w:val="both"/>
        <w:rPr/>
      </w:pPr>
      <w:r>
        <w:rPr>
          <w:rFonts w:cs="Times New Roman" w:ascii="Times New Roman" w:hAnsi="Times New Roman"/>
        </w:rPr>
        <w:t>2) коммунально-складская зона (КС 1);</w:t>
      </w:r>
    </w:p>
    <w:p>
      <w:pPr>
        <w:pStyle w:val="Normal"/>
        <w:ind w:firstLine="567"/>
        <w:jc w:val="both"/>
        <w:rPr/>
      </w:pPr>
      <w:r>
        <w:rPr>
          <w:rFonts w:cs="Times New Roman" w:ascii="Times New Roman" w:hAnsi="Times New Roman"/>
        </w:rPr>
        <w:t xml:space="preserve">3) </w:t>
      </w:r>
      <w:bookmarkStart w:id="226" w:name="_Ref263956480"/>
      <w:r>
        <w:rPr>
          <w:rFonts w:cs="Times New Roman" w:ascii="Times New Roman" w:hAnsi="Times New Roman"/>
        </w:rPr>
        <w:t>зона</w:t>
      </w:r>
      <w:r>
        <w:rPr>
          <w:rFonts w:eastAsia="Times New Roman" w:cs="Times New Roman" w:ascii="Times New Roman" w:hAnsi="Times New Roman"/>
        </w:rPr>
        <w:t xml:space="preserve"> объектов инженерной инфраструктуры (И 1)</w:t>
      </w:r>
      <w:bookmarkEnd w:id="226"/>
      <w:r>
        <w:rPr>
          <w:rFonts w:cs="Times New Roman" w:ascii="Times New Roman" w:hAnsi="Times New Roman"/>
        </w:rPr>
        <w:t>;</w:t>
      </w:r>
    </w:p>
    <w:p>
      <w:pPr>
        <w:pStyle w:val="Normal"/>
        <w:ind w:firstLine="567"/>
        <w:jc w:val="both"/>
        <w:rPr/>
      </w:pPr>
      <w:r>
        <w:rPr>
          <w:rFonts w:cs="Times New Roman" w:ascii="Times New Roman" w:hAnsi="Times New Roman"/>
        </w:rPr>
        <w:t xml:space="preserve">4) </w:t>
      </w:r>
      <w:bookmarkStart w:id="227" w:name="_Ref263956482"/>
      <w:r>
        <w:rPr>
          <w:rFonts w:cs="Times New Roman" w:ascii="Times New Roman" w:hAnsi="Times New Roman"/>
        </w:rPr>
        <w:t xml:space="preserve">зона </w:t>
      </w:r>
      <w:r>
        <w:rPr>
          <w:rFonts w:eastAsia="Times New Roman" w:cs="Times New Roman" w:ascii="Times New Roman" w:hAnsi="Times New Roman"/>
        </w:rPr>
        <w:t>объектов транспортной инфраструктуры (Т 1)</w:t>
      </w:r>
      <w:bookmarkEnd w:id="227"/>
      <w:r>
        <w:rPr>
          <w:rFonts w:cs="Times New Roman" w:ascii="Times New Roman" w:hAnsi="Times New Roman"/>
        </w:rPr>
        <w:t>:</w:t>
      </w:r>
    </w:p>
    <w:p>
      <w:pPr>
        <w:pStyle w:val="Normal"/>
        <w:ind w:firstLine="567"/>
        <w:jc w:val="both"/>
        <w:rPr/>
      </w:pPr>
      <w:r>
        <w:rPr>
          <w:rFonts w:cs="Times New Roman" w:ascii="Times New Roman" w:hAnsi="Times New Roman"/>
        </w:rPr>
        <w:t xml:space="preserve">5) </w:t>
      </w:r>
      <w:bookmarkStart w:id="228" w:name="_Ref263956866"/>
      <w:r>
        <w:rPr>
          <w:rFonts w:cs="Times New Roman" w:ascii="Times New Roman" w:hAnsi="Times New Roman"/>
        </w:rPr>
        <w:t>з</w:t>
      </w:r>
      <w:r>
        <w:rPr>
          <w:rFonts w:eastAsia="Times New Roman" w:cs="Times New Roman" w:ascii="Times New Roman" w:hAnsi="Times New Roman"/>
        </w:rPr>
        <w:t>оны рекреационного назначения (Р)</w:t>
      </w:r>
      <w:bookmarkEnd w:id="228"/>
      <w:r>
        <w:rPr>
          <w:rFonts w:cs="Times New Roman" w:ascii="Times New Roman" w:hAnsi="Times New Roman"/>
        </w:rPr>
        <w:t>:</w:t>
      </w:r>
    </w:p>
    <w:p>
      <w:pPr>
        <w:pStyle w:val="Normal"/>
        <w:ind w:firstLine="567"/>
        <w:jc w:val="both"/>
        <w:rPr/>
      </w:pPr>
      <w:r>
        <w:rPr>
          <w:rFonts w:cs="Times New Roman" w:ascii="Times New Roman" w:hAnsi="Times New Roman"/>
        </w:rPr>
        <w:t>а) зона озеленённых территорий общего пользования</w:t>
      </w:r>
      <w:r>
        <w:rPr>
          <w:rFonts w:eastAsia="Times New Roman" w:cs="Times New Roman" w:ascii="Times New Roman" w:hAnsi="Times New Roman"/>
        </w:rPr>
        <w:t xml:space="preserve"> (Р 1)</w:t>
      </w:r>
      <w:r>
        <w:rPr>
          <w:rFonts w:cs="Times New Roman" w:ascii="Times New Roman" w:hAnsi="Times New Roman"/>
        </w:rPr>
        <w:t>;</w:t>
      </w:r>
    </w:p>
    <w:p>
      <w:pPr>
        <w:pStyle w:val="Normal"/>
        <w:ind w:firstLine="567"/>
        <w:jc w:val="both"/>
        <w:rPr/>
      </w:pPr>
      <w:r>
        <w:rPr>
          <w:rFonts w:cs="Times New Roman" w:ascii="Times New Roman" w:hAnsi="Times New Roman"/>
        </w:rPr>
        <w:t>б) зона естественных природных ландшафтов</w:t>
      </w:r>
      <w:r>
        <w:rPr>
          <w:rFonts w:eastAsia="Times New Roman" w:cs="Times New Roman" w:ascii="Times New Roman" w:hAnsi="Times New Roman"/>
        </w:rPr>
        <w:t xml:space="preserve"> (Р 2)</w:t>
      </w:r>
      <w:r>
        <w:rPr>
          <w:rFonts w:cs="Times New Roman" w:ascii="Times New Roman" w:hAnsi="Times New Roman"/>
        </w:rPr>
        <w:t>;</w:t>
      </w:r>
    </w:p>
    <w:p>
      <w:pPr>
        <w:pStyle w:val="Normal"/>
        <w:ind w:firstLine="567"/>
        <w:jc w:val="both"/>
        <w:rPr/>
      </w:pPr>
      <w:r>
        <w:rPr>
          <w:rFonts w:cs="Times New Roman" w:ascii="Times New Roman" w:hAnsi="Times New Roman"/>
        </w:rPr>
        <w:t>в) зона водных объектов</w:t>
      </w:r>
      <w:r>
        <w:rPr>
          <w:rFonts w:eastAsia="Times New Roman" w:cs="Times New Roman" w:ascii="Times New Roman" w:hAnsi="Times New Roman"/>
        </w:rPr>
        <w:t xml:space="preserve"> (Р 3)</w:t>
      </w:r>
      <w:r>
        <w:rPr>
          <w:rFonts w:cs="Times New Roman" w:ascii="Times New Roman" w:hAnsi="Times New Roman"/>
        </w:rPr>
        <w:t>;</w:t>
      </w:r>
    </w:p>
    <w:p>
      <w:pPr>
        <w:pStyle w:val="Normal"/>
        <w:ind w:firstLine="567"/>
        <w:jc w:val="both"/>
        <w:rPr/>
      </w:pPr>
      <w:r>
        <w:rPr>
          <w:rFonts w:cs="Times New Roman" w:ascii="Times New Roman" w:hAnsi="Times New Roman"/>
        </w:rPr>
        <w:t>г) зона объектов отдыха и туризма (Р 4);</w:t>
      </w:r>
    </w:p>
    <w:p>
      <w:pPr>
        <w:pStyle w:val="Normal"/>
        <w:ind w:firstLine="567"/>
        <w:jc w:val="both"/>
        <w:rPr/>
      </w:pPr>
      <w:r>
        <w:rPr>
          <w:rFonts w:cs="Times New Roman" w:ascii="Times New Roman" w:hAnsi="Times New Roman"/>
        </w:rPr>
        <w:t>6) зона режимных объектов</w:t>
      </w:r>
      <w:r>
        <w:rPr>
          <w:rFonts w:eastAsia="Times New Roman" w:cs="Times New Roman" w:ascii="Times New Roman" w:hAnsi="Times New Roman"/>
        </w:rPr>
        <w:t xml:space="preserve"> (СП 1)</w:t>
      </w:r>
      <w:r>
        <w:rPr>
          <w:rFonts w:cs="Times New Roman" w:ascii="Times New Roman" w:hAnsi="Times New Roman"/>
        </w:rPr>
        <w:t>.</w:t>
      </w:r>
    </w:p>
    <w:p>
      <w:pPr>
        <w:pStyle w:val="Normal"/>
        <w:ind w:firstLine="567"/>
        <w:jc w:val="both"/>
        <w:rPr/>
      </w:pPr>
      <w:r>
        <w:rPr>
          <w:rFonts w:cs="Times New Roman" w:ascii="Times New Roman" w:hAnsi="Times New Roman"/>
        </w:rPr>
        <w:t>2. На картах зон с особыми условиями использования территории отображаются следующие границы зон с особыми условиями использования территорий:</w:t>
      </w:r>
    </w:p>
    <w:p>
      <w:pPr>
        <w:pStyle w:val="Normal"/>
        <w:ind w:firstLine="567"/>
        <w:jc w:val="both"/>
        <w:rPr/>
      </w:pPr>
      <w:r>
        <w:rPr>
          <w:rFonts w:cs="Times New Roman" w:ascii="Times New Roman" w:hAnsi="Times New Roman"/>
        </w:rPr>
        <w:t>1) границы зон охраны объектов культурного наследия;</w:t>
      </w:r>
    </w:p>
    <w:p>
      <w:pPr>
        <w:pStyle w:val="Normal"/>
        <w:ind w:firstLine="567"/>
        <w:jc w:val="both"/>
        <w:rPr/>
      </w:pPr>
      <w:r>
        <w:rPr>
          <w:rFonts w:cs="Times New Roman" w:ascii="Times New Roman" w:hAnsi="Times New Roman"/>
        </w:rPr>
        <w:t>2) границы санитарно-защитных зон объектов, установленные в соответствии с</w:t>
      </w:r>
      <w:r>
        <w:rPr>
          <w:rFonts w:cs="Times New Roman" w:ascii="Times New Roman" w:hAnsi="Times New Roman"/>
          <w:dstrike/>
          <w:color w:val="FF0000"/>
        </w:rPr>
        <w:t xml:space="preserve"> </w:t>
      </w:r>
      <w:r>
        <w:rPr>
          <w:rFonts w:cs="Times New Roman" w:ascii="Times New Roman" w:hAnsi="Times New Roman"/>
        </w:rPr>
        <w:t>требованиями санитарных правил и норм (СанПиН);</w:t>
      </w:r>
    </w:p>
    <w:p>
      <w:pPr>
        <w:pStyle w:val="Normal"/>
        <w:ind w:firstLine="567"/>
        <w:jc w:val="both"/>
        <w:rPr/>
      </w:pPr>
      <w:r>
        <w:rPr>
          <w:rFonts w:cs="Times New Roman" w:ascii="Times New Roman" w:hAnsi="Times New Roman"/>
        </w:rPr>
        <w:t>3) границы водоохранных зон водных объектов, установленные в соответствии с требованиями Водного кодекса Российской Федерации;</w:t>
      </w:r>
    </w:p>
    <w:p>
      <w:pPr>
        <w:pStyle w:val="Normal"/>
        <w:ind w:firstLine="567"/>
        <w:jc w:val="both"/>
        <w:rPr/>
      </w:pPr>
      <w:r>
        <w:rPr>
          <w:rFonts w:cs="Times New Roman" w:ascii="Times New Roman" w:hAnsi="Times New Roman"/>
        </w:rPr>
        <w:t>4) границы прибрежных защитных полос водных объектов и береговых полос водных объектов, установленные в соответствии с требованиями Водного кодекса Российской Федерации;</w:t>
      </w:r>
    </w:p>
    <w:p>
      <w:pPr>
        <w:pStyle w:val="Normal"/>
        <w:ind w:firstLine="567"/>
        <w:jc w:val="both"/>
        <w:rPr/>
      </w:pPr>
      <w:r>
        <w:rPr>
          <w:rFonts w:cs="Times New Roman" w:ascii="Times New Roman" w:hAnsi="Times New Roman"/>
        </w:rPr>
        <w:t>5) границы зон затопления и подтопления, установленные в соответствии с полученными гидрологическими изысканиями и требованиями Правил определения границ зон затопления, подтопления, утвержденных Постановлением Правительства Российской Федерации от 18.04.2014 № 360.</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29" w:name="_Toc424230646"/>
      <w:bookmarkEnd w:id="229"/>
      <w:r>
        <w:rPr>
          <w:rFonts w:cs="Times New Roman"/>
        </w:rPr>
        <w:t>Статья 13. Виды разрешенного использования земельных участков</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Настоящими Правилами на территории ВТРК «Архыз» устанавливаются виды разрешенного использования земельных участков согласно классификатору, утвержденному приказом Министерства экономического развития Российской Федерации от 01.09.2014 № 540, и с учетом особенностей территории. Наименования, описания и коды видов разрешенного использования земельных участков представлены согласно классификатору, описания откорректированы с учетом особенностей территории ВТРК «Архыз».</w:t>
      </w:r>
    </w:p>
    <w:p>
      <w:pPr>
        <w:pStyle w:val="Normal"/>
        <w:ind w:firstLine="567"/>
        <w:jc w:val="both"/>
        <w:rPr/>
      </w:pPr>
      <w:r>
        <w:rPr>
          <w:rFonts w:cs="Times New Roman" w:ascii="Times New Roman" w:hAnsi="Times New Roman"/>
        </w:rPr>
        <w:t>2. Рыбоводство (код – 1.13). Осуществление хозяйственной деятельности, связанной с разведением и (или) содержанием, выращиванием объектов рыбоводства (аквакультуры); размещение зданий, сооружений, оборудования, необходимых для осуществления рыбоводства (аквакультуры).</w:t>
      </w:r>
    </w:p>
    <w:p>
      <w:pPr>
        <w:pStyle w:val="Normal"/>
        <w:ind w:firstLine="567"/>
        <w:jc w:val="both"/>
        <w:rPr/>
      </w:pPr>
      <w:r>
        <w:rPr>
          <w:rFonts w:cs="Times New Roman" w:ascii="Times New Roman" w:hAnsi="Times New Roman"/>
        </w:rPr>
        <w:t>3. Передвижное жилье (код – 2.4). В данном виде использования земельных участков разрешается размещение сооружений, пригодных к использованию в качестве жилья (палаточные городки, кемпинги, жилые вагончики, жилые прицепы) с возможностью подключения названных сооружений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p>
      <w:pPr>
        <w:pStyle w:val="Normal"/>
        <w:ind w:firstLine="567"/>
        <w:jc w:val="both"/>
        <w:rPr/>
      </w:pPr>
      <w:r>
        <w:rPr>
          <w:rFonts w:cs="Times New Roman" w:ascii="Times New Roman" w:hAnsi="Times New Roman"/>
        </w:rPr>
        <w:t>4. Коммунальное обслуживание (код – 3.1). В данном виде использования земельных участков разрешается 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w:t>
      </w:r>
    </w:p>
    <w:p>
      <w:pPr>
        <w:pStyle w:val="Normal"/>
        <w:ind w:firstLine="567"/>
        <w:jc w:val="both"/>
        <w:rPr/>
      </w:pPr>
      <w:r>
        <w:rPr>
          <w:rFonts w:cs="Times New Roman" w:ascii="Times New Roman" w:hAnsi="Times New Roman"/>
        </w:rPr>
        <w:t xml:space="preserve">Дополнительно к перечисленным выше объектам капитального строительства на территории ВТРК «Архыз» разрешается размещение </w:t>
      </w:r>
      <w:r>
        <w:rPr>
          <w:rFonts w:cs="Times New Roman" w:ascii="Times New Roman" w:hAnsi="Times New Roman"/>
          <w:color w:val="000000" w:themeColor="text1"/>
        </w:rPr>
        <w:t xml:space="preserve">мусороперегрузочных станций для последующего вывоза </w:t>
      </w:r>
      <w:r>
        <w:rPr>
          <w:rFonts w:cs="Times New Roman" w:ascii="Times New Roman" w:hAnsi="Times New Roman"/>
        </w:rPr>
        <w:t>бытового мусора и отходов.</w:t>
      </w:r>
    </w:p>
    <w:p>
      <w:pPr>
        <w:pStyle w:val="Normal"/>
        <w:ind w:firstLine="567"/>
        <w:jc w:val="both"/>
        <w:rPr/>
      </w:pPr>
      <w:r>
        <w:rPr>
          <w:rFonts w:cs="Times New Roman" w:ascii="Times New Roman" w:hAnsi="Times New Roman"/>
        </w:rPr>
        <w:t>5. Бытовое обслуживание (код – 3.3). В данном виде использования земельных участков разрешается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w:t>
      </w:r>
    </w:p>
    <w:p>
      <w:pPr>
        <w:pStyle w:val="Normal"/>
        <w:ind w:firstLine="567"/>
        <w:jc w:val="both"/>
        <w:rPr/>
      </w:pPr>
      <w:r>
        <w:rPr>
          <w:rFonts w:cs="Times New Roman" w:ascii="Times New Roman" w:hAnsi="Times New Roman"/>
        </w:rPr>
        <w:t>6. Здравоохранение (код – 3.4). В данном виде использования земельных участков разрешается размещение объектов капитального строительства, предназначенных для оказания гражданам медицинской помощи (пункты здравоохранения, диагностические центры).</w:t>
      </w:r>
    </w:p>
    <w:p>
      <w:pPr>
        <w:pStyle w:val="Normal"/>
        <w:ind w:firstLine="567"/>
        <w:jc w:val="both"/>
        <w:rPr/>
      </w:pPr>
      <w:r>
        <w:rPr>
          <w:rFonts w:cs="Times New Roman" w:ascii="Times New Roman" w:hAnsi="Times New Roman"/>
        </w:rPr>
        <w:t>7. Культурное развитие (код – 3.6). В данном виде использования земельных участков разрешается:</w:t>
      </w:r>
    </w:p>
    <w:p>
      <w:pPr>
        <w:pStyle w:val="Normal"/>
        <w:ind w:firstLine="567"/>
        <w:jc w:val="both"/>
        <w:rPr/>
      </w:pPr>
      <w:r>
        <w:rPr>
          <w:rFonts w:cs="Times New Roman" w:ascii="Times New Roman" w:hAnsi="Times New Roman"/>
        </w:rPr>
        <w:t>- 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w:t>
      </w:r>
    </w:p>
    <w:p>
      <w:pPr>
        <w:pStyle w:val="Normal"/>
        <w:ind w:firstLine="567"/>
        <w:jc w:val="both"/>
        <w:rPr/>
      </w:pPr>
      <w:r>
        <w:rPr>
          <w:rFonts w:cs="Times New Roman" w:ascii="Times New Roman" w:hAnsi="Times New Roman"/>
        </w:rPr>
        <w:t>- устройство площадок для празднеств и гуляний.</w:t>
      </w:r>
    </w:p>
    <w:p>
      <w:pPr>
        <w:pStyle w:val="Normal"/>
        <w:ind w:firstLine="567"/>
        <w:jc w:val="both"/>
        <w:rPr/>
      </w:pPr>
      <w:r>
        <w:rPr>
          <w:rFonts w:cs="Times New Roman" w:ascii="Times New Roman" w:hAnsi="Times New Roman"/>
        </w:rPr>
        <w:t>8. Общественное управление (код – 3.8). В данном виде использования земельных участков разрешается:</w:t>
      </w:r>
    </w:p>
    <w:p>
      <w:pPr>
        <w:pStyle w:val="Normal"/>
        <w:ind w:firstLine="567"/>
        <w:jc w:val="both"/>
        <w:rPr/>
      </w:pPr>
      <w:r>
        <w:rPr>
          <w:rFonts w:cs="Times New Roman" w:ascii="Times New Roman" w:hAnsi="Times New Roman"/>
        </w:rPr>
        <w:t>- размещение объектов капитального строительства, предназначенных для размещения органов местного самоуправления;</w:t>
      </w:r>
    </w:p>
    <w:p>
      <w:pPr>
        <w:pStyle w:val="Normal"/>
        <w:ind w:firstLine="567"/>
        <w:jc w:val="both"/>
        <w:rPr/>
      </w:pPr>
      <w:r>
        <w:rPr>
          <w:rFonts w:cs="Times New Roman" w:ascii="Times New Roman" w:hAnsi="Times New Roman"/>
        </w:rPr>
        <w:t>-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pPr>
        <w:pStyle w:val="Normal"/>
        <w:ind w:firstLine="567"/>
        <w:jc w:val="both"/>
        <w:rPr/>
      </w:pPr>
      <w:r>
        <w:rPr>
          <w:rFonts w:cs="Times New Roman" w:ascii="Times New Roman" w:hAnsi="Times New Roman"/>
        </w:rPr>
        <w:t>На территории ВТРК «Архыз» объекты капитального строительства общественного управления представлены административными объектами.</w:t>
      </w:r>
    </w:p>
    <w:p>
      <w:pPr>
        <w:pStyle w:val="Normal"/>
        <w:ind w:firstLine="567"/>
        <w:jc w:val="both"/>
        <w:rPr/>
      </w:pPr>
      <w:r>
        <w:rPr>
          <w:rFonts w:cs="Times New Roman" w:ascii="Times New Roman" w:hAnsi="Times New Roman"/>
        </w:rPr>
        <w:t>9. Магазины (код – 4.4). В данном виде использования земельных участков разрешается размещение объектов капитального строительства, предназначенных для продажи товаров, торговая площадь которых составляет до 1000 кв. м.</w:t>
      </w:r>
    </w:p>
    <w:p>
      <w:pPr>
        <w:pStyle w:val="Normal"/>
        <w:ind w:firstLine="567"/>
        <w:jc w:val="both"/>
        <w:rPr/>
      </w:pPr>
      <w:r>
        <w:rPr>
          <w:rFonts w:cs="Times New Roman" w:ascii="Times New Roman" w:hAnsi="Times New Roman"/>
        </w:rPr>
        <w:t>10. Общественное питание (код – 4.6). В данном виде использования земельных участков разрешается размещение объектов капитального строительства в целях устройства мест общественного питания за плату (рестораны, кафе, столовые, закусочные, бары).</w:t>
      </w:r>
    </w:p>
    <w:p>
      <w:pPr>
        <w:pStyle w:val="Normal"/>
        <w:ind w:firstLine="567"/>
        <w:jc w:val="both"/>
        <w:rPr/>
      </w:pPr>
      <w:r>
        <w:rPr>
          <w:rFonts w:cs="Times New Roman" w:ascii="Times New Roman" w:hAnsi="Times New Roman"/>
        </w:rPr>
        <w:t>11. Гостиничное обслуживание (код – 4.7). В данном виде использования земельных участков разрешается 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pPr>
        <w:pStyle w:val="Normal"/>
        <w:ind w:firstLine="567"/>
        <w:jc w:val="both"/>
        <w:rPr/>
      </w:pPr>
      <w:r>
        <w:rPr>
          <w:rFonts w:cs="Times New Roman" w:ascii="Times New Roman" w:hAnsi="Times New Roman"/>
        </w:rPr>
        <w:t>На территории ВТРК «Архыз» представлены следующие средства размещения гостиничного типа:</w:t>
      </w:r>
    </w:p>
    <w:p>
      <w:pPr>
        <w:pStyle w:val="Normal"/>
        <w:ind w:firstLine="567"/>
        <w:jc w:val="both"/>
        <w:rPr/>
      </w:pPr>
      <w:r>
        <w:rPr>
          <w:rFonts w:cs="Times New Roman" w:ascii="Times New Roman" w:hAnsi="Times New Roman"/>
        </w:rPr>
        <w:t>- отдельно стоящие коттеджи и шале;</w:t>
      </w:r>
    </w:p>
    <w:p>
      <w:pPr>
        <w:pStyle w:val="Normal"/>
        <w:ind w:firstLine="567"/>
        <w:jc w:val="both"/>
        <w:rPr/>
      </w:pPr>
      <w:r>
        <w:rPr>
          <w:rFonts w:cs="Times New Roman" w:ascii="Times New Roman" w:hAnsi="Times New Roman"/>
        </w:rPr>
        <w:t>- апартаменты;</w:t>
      </w:r>
    </w:p>
    <w:p>
      <w:pPr>
        <w:pStyle w:val="Normal"/>
        <w:ind w:firstLine="567"/>
        <w:jc w:val="both"/>
        <w:rPr/>
      </w:pPr>
      <w:r>
        <w:rPr>
          <w:rFonts w:cs="Times New Roman" w:ascii="Times New Roman" w:hAnsi="Times New Roman"/>
        </w:rPr>
        <w:t>- апарт-отели;</w:t>
      </w:r>
    </w:p>
    <w:p>
      <w:pPr>
        <w:pStyle w:val="Normal"/>
        <w:ind w:firstLine="567"/>
        <w:jc w:val="both"/>
        <w:rPr/>
      </w:pPr>
      <w:r>
        <w:rPr>
          <w:rFonts w:cs="Times New Roman" w:ascii="Times New Roman" w:hAnsi="Times New Roman"/>
        </w:rPr>
        <w:t>- гостиницы 3-х, 4-х и 5-ти звезд;</w:t>
      </w:r>
    </w:p>
    <w:p>
      <w:pPr>
        <w:pStyle w:val="Normal"/>
        <w:ind w:firstLine="567"/>
        <w:jc w:val="both"/>
        <w:rPr/>
      </w:pPr>
      <w:r>
        <w:rPr>
          <w:rFonts w:cs="Times New Roman" w:ascii="Times New Roman" w:hAnsi="Times New Roman"/>
        </w:rPr>
        <w:t>- общежития для обслуживающего персонала.</w:t>
      </w:r>
    </w:p>
    <w:p>
      <w:pPr>
        <w:pStyle w:val="Normal"/>
        <w:ind w:firstLine="567"/>
        <w:jc w:val="both"/>
        <w:rPr/>
      </w:pPr>
      <w:r>
        <w:rPr>
          <w:rFonts w:cs="Times New Roman" w:ascii="Times New Roman" w:hAnsi="Times New Roman"/>
        </w:rPr>
        <w:t>12. Развлечения (код – 4.8). В данном виде использования земельных участков разрешается размещение объектов капитального строительства, предназначенных для размещения: дискотек и танцевальных площадок, ночных клубов, боулинга, аттракционов, игровых автоматов (кроме игрового оборудования, используемого для проведения азартных игр) и игровых площадок.</w:t>
      </w:r>
    </w:p>
    <w:p>
      <w:pPr>
        <w:pStyle w:val="Normal"/>
        <w:ind w:firstLine="567"/>
        <w:jc w:val="both"/>
        <w:rPr/>
      </w:pPr>
      <w:r>
        <w:rPr>
          <w:rFonts w:cs="Times New Roman" w:ascii="Times New Roman" w:hAnsi="Times New Roman"/>
        </w:rPr>
        <w:t>13. Обслуживание автотранспорта (код – 4.9). В данном виде использования земельных участков разрешается:</w:t>
      </w:r>
    </w:p>
    <w:p>
      <w:pPr>
        <w:pStyle w:val="Normal"/>
        <w:ind w:firstLine="567"/>
        <w:jc w:val="both"/>
        <w:rPr/>
      </w:pPr>
      <w:r>
        <w:rPr>
          <w:rFonts w:cs="Times New Roman" w:ascii="Times New Roman" w:hAnsi="Times New Roman"/>
        </w:rPr>
        <w:t>- размещение постоянных или временных гаражей с несколькими стояночными местами, стоянок, автозаправочных станций (бензиновых, газовых);</w:t>
      </w:r>
    </w:p>
    <w:p>
      <w:pPr>
        <w:pStyle w:val="Normal"/>
        <w:ind w:firstLine="567"/>
        <w:jc w:val="both"/>
        <w:rPr/>
      </w:pPr>
      <w:r>
        <w:rPr>
          <w:rFonts w:cs="Times New Roman" w:ascii="Times New Roman" w:hAnsi="Times New Roman"/>
        </w:rPr>
        <w:t>- размещение магазинов сопутствующей торговли, зданий для организации общественного питания в качестве придорожного сервиса;</w:t>
      </w:r>
    </w:p>
    <w:p>
      <w:pPr>
        <w:pStyle w:val="Normal"/>
        <w:ind w:firstLine="567"/>
        <w:jc w:val="both"/>
        <w:rPr/>
      </w:pPr>
      <w:r>
        <w:rPr>
          <w:rFonts w:cs="Times New Roman" w:ascii="Times New Roman" w:hAnsi="Times New Roman"/>
        </w:rPr>
        <w:t>- размещение автомобильных моек и прачечных для автомобильных принадлежностей, мастерских, предназначенных для ремонта и обслуживания автомобилей.</w:t>
      </w:r>
    </w:p>
    <w:p>
      <w:pPr>
        <w:pStyle w:val="Normal"/>
        <w:ind w:firstLine="567"/>
        <w:jc w:val="both"/>
        <w:rPr/>
      </w:pPr>
      <w:r>
        <w:rPr>
          <w:rFonts w:cs="Times New Roman" w:ascii="Times New Roman" w:hAnsi="Times New Roman"/>
        </w:rPr>
        <w:t>Дополнительно к перечисленным выше объектам капитального строительства на территории ВТРК «Архыз» разрешается размещение гаражей для ратраков и площадок для ратраков.</w:t>
      </w:r>
    </w:p>
    <w:p>
      <w:pPr>
        <w:pStyle w:val="Normal"/>
        <w:ind w:firstLine="567"/>
        <w:jc w:val="both"/>
        <w:rPr/>
      </w:pPr>
      <w:r>
        <w:rPr>
          <w:rFonts w:cs="Times New Roman" w:ascii="Times New Roman" w:hAnsi="Times New Roman"/>
        </w:rPr>
        <w:t>14. Спорт (код – 5.1). В данном виде использования земельных участков разрешается 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трамплины), в том числе водным (причалы и сооружения, необходимые для водных видов спорта и хранения соответствующего инвентаря).</w:t>
      </w:r>
    </w:p>
    <w:p>
      <w:pPr>
        <w:pStyle w:val="Normal"/>
        <w:ind w:firstLine="567"/>
        <w:jc w:val="both"/>
        <w:rPr/>
      </w:pPr>
      <w:r>
        <w:rPr>
          <w:rFonts w:cs="Times New Roman" w:ascii="Times New Roman" w:hAnsi="Times New Roman"/>
        </w:rPr>
        <w:t>Дополнительно к перечисленным выше объектам капитального строительства на территории ВТРК «Архыз» представлены следующие объекты, характерные для горнолыжных курортов:</w:t>
      </w:r>
    </w:p>
    <w:p>
      <w:pPr>
        <w:pStyle w:val="Normal"/>
        <w:ind w:firstLine="567"/>
        <w:jc w:val="both"/>
        <w:rPr/>
      </w:pPr>
      <w:r>
        <w:rPr>
          <w:rFonts w:cs="Times New Roman" w:ascii="Times New Roman" w:hAnsi="Times New Roman"/>
        </w:rPr>
        <w:t>- горнолыжные трассы;</w:t>
      </w:r>
    </w:p>
    <w:p>
      <w:pPr>
        <w:pStyle w:val="Normal"/>
        <w:ind w:firstLine="567"/>
        <w:jc w:val="both"/>
        <w:rPr/>
      </w:pPr>
      <w:r>
        <w:rPr>
          <w:rFonts w:cs="Times New Roman" w:ascii="Times New Roman" w:hAnsi="Times New Roman"/>
        </w:rPr>
        <w:t>- канатные дороги;</w:t>
      </w:r>
    </w:p>
    <w:p>
      <w:pPr>
        <w:pStyle w:val="Normal"/>
        <w:ind w:firstLine="567"/>
        <w:jc w:val="both"/>
        <w:rPr/>
      </w:pPr>
      <w:r>
        <w:rPr>
          <w:rFonts w:cs="Times New Roman" w:ascii="Times New Roman" w:hAnsi="Times New Roman"/>
        </w:rPr>
        <w:t>- станции подъемников:</w:t>
      </w:r>
    </w:p>
    <w:p>
      <w:pPr>
        <w:pStyle w:val="Normal"/>
        <w:ind w:firstLine="567"/>
        <w:jc w:val="both"/>
        <w:rPr/>
      </w:pPr>
      <w:r>
        <w:rPr>
          <w:rFonts w:cs="Times New Roman" w:ascii="Times New Roman" w:hAnsi="Times New Roman"/>
        </w:rPr>
        <w:t>- гаражи гондол.</w:t>
      </w:r>
    </w:p>
    <w:p>
      <w:pPr>
        <w:pStyle w:val="Normal"/>
        <w:ind w:firstLine="567"/>
        <w:jc w:val="both"/>
        <w:rPr/>
      </w:pPr>
      <w:r>
        <w:rPr>
          <w:rFonts w:cs="Times New Roman" w:ascii="Times New Roman" w:hAnsi="Times New Roman"/>
        </w:rPr>
        <w:t>15. Природно-познавательный туризм (код – 5.2). В данном виде использования земельных участков разрешается:</w:t>
      </w:r>
    </w:p>
    <w:p>
      <w:pPr>
        <w:pStyle w:val="Normal"/>
        <w:ind w:firstLine="567"/>
        <w:jc w:val="both"/>
        <w:rPr/>
      </w:pPr>
      <w:r>
        <w:rPr>
          <w:rFonts w:cs="Times New Roman" w:ascii="Times New Roman" w:hAnsi="Times New Roman"/>
        </w:rPr>
        <w:t>- 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pPr>
        <w:pStyle w:val="Normal"/>
        <w:ind w:firstLine="567"/>
        <w:jc w:val="both"/>
        <w:rPr/>
      </w:pPr>
      <w:r>
        <w:rPr>
          <w:rFonts w:cs="Times New Roman" w:ascii="Times New Roman" w:hAnsi="Times New Roman"/>
        </w:rPr>
        <w:t>- осуществление необходимых природоохранных и природовосстановительных мероприятий.</w:t>
      </w:r>
    </w:p>
    <w:p>
      <w:pPr>
        <w:pStyle w:val="Normal"/>
        <w:ind w:firstLine="567"/>
        <w:jc w:val="both"/>
        <w:rPr/>
      </w:pPr>
      <w:r>
        <w:rPr>
          <w:rFonts w:cs="Times New Roman" w:ascii="Times New Roman" w:hAnsi="Times New Roman"/>
        </w:rPr>
        <w:t>16. Охота и рыбалка (код – 5.3). В данном виде использования земельных участков разрешается обустройство мест рыбалки, в том числе размещение дома рыболова, сооружений, необходимых для восстановления и поддержания количества рыбы.</w:t>
      </w:r>
    </w:p>
    <w:p>
      <w:pPr>
        <w:pStyle w:val="Normal"/>
        <w:ind w:firstLine="567"/>
        <w:jc w:val="both"/>
        <w:rPr/>
      </w:pPr>
      <w:r>
        <w:rPr>
          <w:rFonts w:cs="Times New Roman" w:ascii="Times New Roman" w:hAnsi="Times New Roman"/>
        </w:rPr>
        <w:t>17. Поля для гольфа или конных прогулок (код – 5.4). В данном виде использования земельных участков разрешается обустройство мест для осуществления конных прогулок и вспомогательных сооружений.</w:t>
      </w:r>
    </w:p>
    <w:p>
      <w:pPr>
        <w:pStyle w:val="Normal"/>
        <w:ind w:firstLine="567"/>
        <w:jc w:val="both"/>
        <w:rPr/>
      </w:pPr>
      <w:r>
        <w:rPr>
          <w:rFonts w:cs="Times New Roman" w:ascii="Times New Roman" w:hAnsi="Times New Roman"/>
        </w:rPr>
        <w:t>18. Склады (код – 6.9). В данном виде использования земельных участков разрешается размещение сооружений, имеющих назначение по временному хранению, распределению и перевалке грузов (за исключением хранения стратегических запасов).</w:t>
      </w:r>
    </w:p>
    <w:p>
      <w:pPr>
        <w:pStyle w:val="Normal"/>
        <w:ind w:firstLine="567"/>
        <w:jc w:val="both"/>
        <w:rPr/>
      </w:pPr>
      <w:r>
        <w:rPr>
          <w:rFonts w:cs="Times New Roman" w:ascii="Times New Roman" w:hAnsi="Times New Roman"/>
        </w:rPr>
        <w:t>19. Автомобильный транспорт (код – 7.2). В данном виде использования земельных участков разрешается:</w:t>
      </w:r>
    </w:p>
    <w:p>
      <w:pPr>
        <w:pStyle w:val="Normal"/>
        <w:ind w:firstLine="567"/>
        <w:jc w:val="both"/>
        <w:rPr/>
      </w:pPr>
      <w:r>
        <w:rPr>
          <w:rFonts w:cs="Times New Roman" w:ascii="Times New Roman" w:hAnsi="Times New Roman"/>
        </w:rPr>
        <w:t>- размещение автомобильных дорог вне границ населенного пункта;</w:t>
      </w:r>
    </w:p>
    <w:p>
      <w:pPr>
        <w:pStyle w:val="Normal"/>
        <w:ind w:firstLine="567"/>
        <w:jc w:val="both"/>
        <w:rPr/>
      </w:pPr>
      <w:r>
        <w:rPr>
          <w:rFonts w:cs="Times New Roman" w:ascii="Times New Roman" w:hAnsi="Times New Roman"/>
        </w:rPr>
        <w:t>- размещение объектов капитального строительства, необходимых для обеспечения автомобильного движения, посадки и высадки пассажиров и их сопутствующего обслуживания, а также объектов, предназначенных для размещения постов органов внутренних дел, ответственных за безопасность дорожного движения;</w:t>
      </w:r>
    </w:p>
    <w:p>
      <w:pPr>
        <w:pStyle w:val="Normal"/>
        <w:ind w:firstLine="567"/>
        <w:jc w:val="both"/>
        <w:rPr/>
      </w:pPr>
      <w:r>
        <w:rPr>
          <w:rFonts w:cs="Times New Roman" w:ascii="Times New Roman" w:hAnsi="Times New Roman"/>
        </w:rPr>
        <w:t>-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p>
      <w:pPr>
        <w:pStyle w:val="Normal"/>
        <w:ind w:firstLine="567"/>
        <w:jc w:val="both"/>
        <w:rPr/>
      </w:pPr>
      <w:r>
        <w:rPr>
          <w:rFonts w:cs="Times New Roman" w:ascii="Times New Roman" w:hAnsi="Times New Roman"/>
        </w:rPr>
        <w:t>20. Воздушный транспорт (код – 7.4). В данном виде использования земельных участков разрешается размещение вертолетных площадок, размещение объектов, необходимых для взлета и приземления воздушных судов, объектов, необходимых для посадки и высадки пассажиров и их сопутствующего обслуживания и обеспечения их безопасности.</w:t>
      </w:r>
    </w:p>
    <w:p>
      <w:pPr>
        <w:pStyle w:val="Normal"/>
        <w:ind w:firstLine="567"/>
        <w:jc w:val="both"/>
        <w:rPr/>
      </w:pPr>
      <w:r>
        <w:rPr>
          <w:rFonts w:cs="Times New Roman" w:ascii="Times New Roman" w:hAnsi="Times New Roman"/>
        </w:rPr>
        <w:t>21. Трубопроводный транспорт (код – 7.5). В данном виде использования земельных участков разрешается размещение водопроводов, газопроводов и иных трубопроводов, а также иных зданий и сооружений, необходимых для эксплуатации названных трубопроводов.</w:t>
      </w:r>
    </w:p>
    <w:p>
      <w:pPr>
        <w:pStyle w:val="Normal"/>
        <w:ind w:firstLine="567"/>
        <w:jc w:val="both"/>
        <w:rPr/>
      </w:pPr>
      <w:r>
        <w:rPr>
          <w:rFonts w:cs="Times New Roman" w:ascii="Times New Roman" w:hAnsi="Times New Roman"/>
        </w:rPr>
        <w:t>22. Охрана Государственной границы Российской Федерации (код – 8.2). В данном виде использования земельных участков разрешается размещение инженерных сооружений и заграждений, пограничных знаков, коммуникаций и других объектов, необходимых для обеспечения защиты и охраны Государственной границы Российской Федерации, устройство пограничных просек и контрольных полос, размещение зданий для размещения пограничных воинских частей и органов управления ими, а также для размещения пунктов пропуска через Государственную границу Российской Федерации.</w:t>
      </w:r>
    </w:p>
    <w:p>
      <w:pPr>
        <w:pStyle w:val="Normal"/>
        <w:ind w:firstLine="567"/>
        <w:jc w:val="both"/>
        <w:rPr/>
      </w:pPr>
      <w:r>
        <w:rPr>
          <w:rFonts w:cs="Times New Roman" w:ascii="Times New Roman" w:hAnsi="Times New Roman"/>
        </w:rPr>
        <w:t>23. Обеспечение внутреннего правопорядка (код – 8.3). В данном виде использования земельных участков разрешается размещение объектов гражданской обороны, за исключением объектов гражданской обороны, являющихся частями производственных зданий.</w:t>
      </w:r>
    </w:p>
    <w:p>
      <w:pPr>
        <w:pStyle w:val="Normal"/>
        <w:ind w:firstLine="567"/>
        <w:jc w:val="both"/>
        <w:rPr/>
      </w:pPr>
      <w:r>
        <w:rPr>
          <w:rFonts w:cs="Times New Roman" w:ascii="Times New Roman" w:hAnsi="Times New Roman"/>
        </w:rPr>
        <w:t>Дополнительно к перечисленным выше объектам капитального строительства на территории ВТРК «Архыз» разрешается размещение помещений для горнолыжного патруля и метео-оборудования.</w:t>
      </w:r>
    </w:p>
    <w:p>
      <w:pPr>
        <w:pStyle w:val="Normal"/>
        <w:ind w:firstLine="567"/>
        <w:jc w:val="both"/>
        <w:rPr/>
      </w:pPr>
      <w:r>
        <w:rPr>
          <w:rFonts w:cs="Times New Roman" w:ascii="Times New Roman" w:hAnsi="Times New Roman"/>
        </w:rPr>
        <w:t>24. Курортная деятельность (код – 9.2). В данном виде разрешенного использования земельных участков разрешается 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p>
      <w:pPr>
        <w:pStyle w:val="Normal"/>
        <w:ind w:firstLine="567"/>
        <w:jc w:val="both"/>
        <w:rPr/>
      </w:pPr>
      <w:r>
        <w:rPr>
          <w:rFonts w:cs="Times New Roman" w:ascii="Times New Roman" w:hAnsi="Times New Roman"/>
        </w:rPr>
        <w:t>25. Резервные леса (код – 10.4). В данном виде разрешенного использования земельных участков разрешается деятельность, связанная с охраной лесов.</w:t>
      </w:r>
    </w:p>
    <w:p>
      <w:pPr>
        <w:pStyle w:val="Normal"/>
        <w:ind w:firstLine="567"/>
        <w:jc w:val="both"/>
        <w:rPr/>
      </w:pPr>
      <w:r>
        <w:rPr>
          <w:rFonts w:cs="Times New Roman" w:ascii="Times New Roman" w:hAnsi="Times New Roman"/>
        </w:rPr>
        <w:t>26. Водные объекты (код – 11.0). В данном виде разрешенного использования земельных участков размещаются ледники, снежники, ручьи, реки, озера, болота и другие поверхностные водные объекты.</w:t>
      </w:r>
    </w:p>
    <w:p>
      <w:pPr>
        <w:pStyle w:val="Normal"/>
        <w:ind w:firstLine="567"/>
        <w:jc w:val="both"/>
        <w:rPr/>
      </w:pPr>
      <w:r>
        <w:rPr>
          <w:rFonts w:cs="Times New Roman" w:ascii="Times New Roman" w:hAnsi="Times New Roman"/>
        </w:rPr>
        <w:t>27. Общее пользование водными объектами (код – 11.1). В данном виде использования земельных участков разрешается использование земельных участков, примыкающих к водным объектам способами, необходимыми для осуществления общего водопользования (забор (изъятие) водных ресурсов для целей питьевого и хозяйственно-бытового водоснабжения, купание, водопой, если соответствующие запреты не установлены законодательством).</w:t>
      </w:r>
    </w:p>
    <w:p>
      <w:pPr>
        <w:pStyle w:val="Normal"/>
        <w:ind w:firstLine="567"/>
        <w:jc w:val="both"/>
        <w:rPr/>
      </w:pPr>
      <w:r>
        <w:rPr>
          <w:rFonts w:cs="Times New Roman" w:ascii="Times New Roman" w:hAnsi="Times New Roman"/>
        </w:rPr>
        <w:t>28. Специальное пользование водными объектами (код – 11.2). В данном виде использования земельных участков разрешается 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p>
      <w:pPr>
        <w:pStyle w:val="Normal"/>
        <w:ind w:firstLine="567"/>
        <w:jc w:val="both"/>
        <w:rPr/>
      </w:pPr>
      <w:r>
        <w:rPr>
          <w:rFonts w:cs="Times New Roman" w:ascii="Times New Roman" w:hAnsi="Times New Roman"/>
        </w:rPr>
        <w:t>29. Гидротехнические сооружения (код – 11.3). В данном виде использования земельных участков разрешается размещение гидротехнических сооружений, необходимых для эксплуатации водохранилищ (водозаборных, водовыпускных и других гидротехнических сооружений, рыбозащитных и рыбопропускных сооружений, берегозащитных сооружений).</w:t>
      </w:r>
    </w:p>
    <w:p>
      <w:pPr>
        <w:pStyle w:val="Normal"/>
        <w:ind w:firstLine="567"/>
        <w:jc w:val="both"/>
        <w:rPr/>
      </w:pPr>
      <w:r>
        <w:rPr>
          <w:rFonts w:cs="Times New Roman" w:ascii="Times New Roman" w:hAnsi="Times New Roman"/>
        </w:rPr>
        <w:t>30. Общее пользование территории (код – 12.0). В данном виде использования земельных участков разрешается 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p>
      <w:pPr>
        <w:pStyle w:val="Normal"/>
        <w:ind w:firstLine="567"/>
        <w:jc w:val="both"/>
        <w:rPr/>
      </w:pPr>
      <w:r>
        <w:rPr>
          <w:rFonts w:cs="Times New Roman" w:ascii="Times New Roman" w:hAnsi="Times New Roman"/>
        </w:rPr>
        <w:t>31. Содержание видов разрешенного использования, перечисленных в настоящих Правилах согласно классификатору, допускает без отдельного указания в Правилах размещение и эксплуатацию линейного объекта (кроме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если федеральным законом не установлено иное.</w:t>
      </w:r>
    </w:p>
    <w:p>
      <w:pPr>
        <w:pStyle w:val="Normal"/>
        <w:ind w:firstLine="567"/>
        <w:jc w:val="both"/>
        <w:rPr/>
      </w:pPr>
      <w:r>
        <w:rPr>
          <w:rFonts w:cs="Times New Roman" w:ascii="Times New Roman" w:hAnsi="Times New Roman"/>
        </w:rPr>
        <w:t>32. Текстовое наименование вида разрешенного использования земельного участка и его код (числовое обозначение) являются равнозначными.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2"/>
        <w:numPr>
          <w:ilvl w:val="0"/>
          <w:numId w:val="0"/>
        </w:numPr>
        <w:spacing w:lineRule="auto" w:line="240"/>
        <w:jc w:val="both"/>
        <w:rPr/>
      </w:pPr>
      <w:bookmarkStart w:id="230" w:name="_Toc379703664"/>
      <w:bookmarkStart w:id="231" w:name="_Toc385353907"/>
      <w:bookmarkStart w:id="232" w:name="_Toc424230647"/>
      <w:bookmarkEnd w:id="230"/>
      <w:bookmarkEnd w:id="231"/>
      <w:bookmarkEnd w:id="232"/>
      <w:r>
        <w:rPr>
          <w:rFonts w:cs="Times New Roman"/>
        </w:rPr>
        <w:t>Глава 6. Градостроительные режимы, виды и параметры разрешённого использования земельных участков</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33" w:name="_Toc424230648"/>
      <w:bookmarkEnd w:id="233"/>
      <w:r>
        <w:rPr>
          <w:rFonts w:cs="Times New Roman"/>
        </w:rPr>
        <w:t>Статья 14. Общественно-деловые зоны</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Общественно-деловые зоны предназначены для размещения отдельно стоящих коттеджей и шале, апартаментов, апарт-отелей, гостиниц, общежитий для обслуживающего персонала, открытых стоянок для временной парковки автомобильного транспорта, объектов торговли, объектов общественного питания, объектов развлечения, объектов спорта, объектов здравоохранения, объектов культуры и искусства, объектов коммунально-бытового назначения, административных, иных объектов, связанных с обеспечением жизнедеятельности туристов и обслуживающего персонала, горнолыжных трасс, канатных дорог, объектов физкультуры и спорта.</w:t>
      </w:r>
    </w:p>
    <w:p>
      <w:pPr>
        <w:pStyle w:val="Normal"/>
        <w:ind w:firstLine="567"/>
        <w:jc w:val="both"/>
        <w:rPr/>
      </w:pPr>
      <w:r>
        <w:rPr>
          <w:rFonts w:cs="Times New Roman" w:ascii="Times New Roman" w:hAnsi="Times New Roman"/>
        </w:rPr>
        <w:t>2. В общественно-деловых зонах допускается размещение линейных, коммунальных и иных объектов в случаях, предусмотренных настоящими Правилами.</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34" w:name="_Toc424230649"/>
      <w:r>
        <w:rPr>
          <w:rFonts w:cs="Times New Roman"/>
        </w:rPr>
        <w:t xml:space="preserve">Статья 15. </w:t>
      </w:r>
      <w:bookmarkEnd w:id="234"/>
      <w:r>
        <w:rPr>
          <w:rFonts w:cs="Times New Roman"/>
          <w:szCs w:val="24"/>
        </w:rPr>
        <w:t>Зона объектов коттеджного типа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Зона объектов коттеджного типа включает в себя участки территории ВТРК «Архыз», предназначенные для размещения отдельно стоящих коттеджей и шале.</w:t>
      </w:r>
    </w:p>
    <w:p>
      <w:pPr>
        <w:pStyle w:val="Normal"/>
        <w:ind w:firstLine="567"/>
        <w:jc w:val="both"/>
        <w:rPr/>
      </w:pPr>
      <w:r>
        <w:rPr>
          <w:rFonts w:cs="Times New Roman" w:ascii="Times New Roman" w:hAnsi="Times New Roman"/>
        </w:rPr>
        <w:t>В зоне объектов коттеджного типа допускается размещение открытых стоянок для временной парковки автомобильного транспорта, линейных и иных объектов в случаях, предусмотренных настоящей статьей.</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гостиничное обслуживание (размещение отдельно стоящих коттеджей и шале).</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обслуживание автотранспорта (размещение открытых площадок для временной парковки автомобильного транспорта);</w:t>
      </w:r>
    </w:p>
    <w:p>
      <w:pPr>
        <w:pStyle w:val="Normal"/>
        <w:ind w:firstLine="567"/>
        <w:jc w:val="both"/>
        <w:rPr/>
      </w:pPr>
      <w:r>
        <w:rPr>
          <w:rFonts w:cs="Times New Roman" w:ascii="Times New Roman" w:hAnsi="Times New Roman"/>
        </w:rPr>
        <w:t>2) коммунальное обслуживание (размещение объектов инженерной инфраструктуры и линейных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трубопроводный транспорт.</w:t>
      </w:r>
    </w:p>
    <w:p>
      <w:pPr>
        <w:pStyle w:val="Normal"/>
        <w:ind w:firstLine="567"/>
        <w:jc w:val="both"/>
        <w:rPr/>
      </w:pPr>
      <w:r>
        <w:rPr>
          <w:rFonts w:cs="Times New Roman" w:ascii="Times New Roman" w:hAnsi="Times New Roman"/>
        </w:rPr>
        <w:t>5.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на территории новых и реконструируемых кварталов в зоне объектов коттеджного типа:</w:t>
      </w:r>
    </w:p>
    <w:p>
      <w:pPr>
        <w:pStyle w:val="Normal"/>
        <w:ind w:firstLine="567"/>
        <w:jc w:val="both"/>
        <w:rPr/>
      </w:pPr>
      <w:r>
        <w:rPr>
          <w:rFonts w:cs="Times New Roman" w:ascii="Times New Roman" w:hAnsi="Times New Roman"/>
        </w:rPr>
        <w:t>максимальный уклон земельного участка – 22,5 %;</w:t>
      </w:r>
    </w:p>
    <w:p>
      <w:pPr>
        <w:pStyle w:val="Normal"/>
        <w:ind w:firstLine="567"/>
        <w:jc w:val="both"/>
        <w:rPr/>
      </w:pPr>
      <w:r>
        <w:rPr>
          <w:rFonts w:cs="Times New Roman" w:ascii="Times New Roman" w:hAnsi="Times New Roman"/>
        </w:rPr>
        <w:t>расстояние от границ зоны объектов коттеджного типа до древесно-кустарниковой растительности (лесопарков) – не менее 15 м;</w:t>
      </w:r>
    </w:p>
    <w:p>
      <w:pPr>
        <w:pStyle w:val="Normal"/>
        <w:ind w:firstLine="567"/>
        <w:jc w:val="both"/>
        <w:rPr/>
      </w:pPr>
      <w:r>
        <w:rPr>
          <w:rFonts w:cs="Times New Roman" w:ascii="Times New Roman" w:hAnsi="Times New Roman"/>
        </w:rPr>
        <w:t>расстояние между отдельно стоящими коттеджами и шале – согласно нормативам;</w:t>
      </w:r>
    </w:p>
    <w:p>
      <w:pPr>
        <w:pStyle w:val="Normal"/>
        <w:ind w:firstLine="567"/>
        <w:jc w:val="both"/>
        <w:rPr/>
      </w:pPr>
      <w:r>
        <w:rPr>
          <w:rFonts w:cs="Times New Roman" w:ascii="Times New Roman" w:hAnsi="Times New Roman"/>
        </w:rPr>
        <w:t>для отдельно стоящих коттеджей и шале этажность - не более 3;</w:t>
      </w:r>
    </w:p>
    <w:p>
      <w:pPr>
        <w:pStyle w:val="Normal"/>
        <w:ind w:firstLine="567"/>
        <w:jc w:val="both"/>
        <w:rPr/>
      </w:pPr>
      <w:r>
        <w:rPr>
          <w:rFonts w:cs="Times New Roman" w:ascii="Times New Roman" w:hAnsi="Times New Roman"/>
        </w:rPr>
        <w:t>для отдельно стоящих коттеджей и шале максимальная высота – 15 м, минимальная – 3 м;</w:t>
      </w:r>
    </w:p>
    <w:p>
      <w:pPr>
        <w:pStyle w:val="Normal"/>
        <w:ind w:firstLine="567"/>
        <w:jc w:val="both"/>
        <w:rPr/>
      </w:pPr>
      <w:r>
        <w:rPr>
          <w:rFonts w:cs="Times New Roman" w:ascii="Times New Roman" w:hAnsi="Times New Roman"/>
        </w:rPr>
        <w:t>минимальный отступ от красной линии до зданий, строений, сооружений при осуществлении строительства - 5 м, уточняется на стадии проектной документации;</w:t>
      </w:r>
    </w:p>
    <w:p>
      <w:pPr>
        <w:pStyle w:val="Normal"/>
        <w:ind w:firstLine="567"/>
        <w:jc w:val="both"/>
        <w:rPr/>
      </w:pPr>
      <w:r>
        <w:rPr>
          <w:rFonts w:cs="Times New Roman" w:ascii="Times New Roman" w:hAnsi="Times New Roman"/>
        </w:rPr>
        <w:t>минимальный отступ от границы земельного участка внутри зоны объектов коттеджного типа до зданий, строений, сооружений при осуществлении строительства – 3 м;</w:t>
      </w:r>
    </w:p>
    <w:p>
      <w:pPr>
        <w:pStyle w:val="Normal"/>
        <w:ind w:firstLine="567"/>
        <w:jc w:val="both"/>
        <w:rPr/>
      </w:pPr>
      <w:r>
        <w:rPr>
          <w:rFonts w:cs="Times New Roman" w:ascii="Times New Roman" w:hAnsi="Times New Roman"/>
        </w:rPr>
        <w:t>минимальный отступ от любых объектов капитального строительства на соседних земельных участках до зданий, строений, сооружений при осуществлении строительства внутри зоны коттеджного типа – 6 м;</w:t>
      </w:r>
    </w:p>
    <w:p>
      <w:pPr>
        <w:pStyle w:val="Normal"/>
        <w:ind w:firstLine="567"/>
        <w:jc w:val="both"/>
        <w:rPr/>
      </w:pPr>
      <w:r>
        <w:rPr>
          <w:rFonts w:cs="Times New Roman" w:ascii="Times New Roman" w:hAnsi="Times New Roman"/>
        </w:rPr>
        <w:t>коэффициент застройки - не более 0,38 и не менее 0,08;</w:t>
      </w:r>
    </w:p>
    <w:p>
      <w:pPr>
        <w:pStyle w:val="Normal"/>
        <w:ind w:firstLine="567"/>
        <w:jc w:val="both"/>
        <w:rPr/>
      </w:pPr>
      <w:r>
        <w:rPr>
          <w:rFonts w:cs="Times New Roman" w:ascii="Times New Roman" w:hAnsi="Times New Roman"/>
        </w:rPr>
        <w:t>коэффициент свободных территорий - не менее 0,62;</w:t>
      </w:r>
    </w:p>
    <w:p>
      <w:pPr>
        <w:pStyle w:val="Normal"/>
        <w:ind w:firstLine="567"/>
        <w:jc w:val="both"/>
        <w:rPr/>
      </w:pPr>
      <w:r>
        <w:rPr>
          <w:rFonts w:cs="Times New Roman" w:ascii="Times New Roman" w:hAnsi="Times New Roman"/>
        </w:rPr>
        <w:t>коэффициент плотности застройки - не более 0,76;</w:t>
      </w:r>
    </w:p>
    <w:p>
      <w:pPr>
        <w:pStyle w:val="Normal"/>
        <w:ind w:firstLine="567"/>
        <w:jc w:val="both"/>
        <w:rPr/>
      </w:pPr>
      <w:r>
        <w:rPr>
          <w:rFonts w:cs="Times New Roman" w:ascii="Times New Roman" w:hAnsi="Times New Roman"/>
        </w:rPr>
        <w:t>коэффициент благоустроенных территорий земельного участка - не более 0,25 и не менее 0,10;</w:t>
      </w:r>
    </w:p>
    <w:p>
      <w:pPr>
        <w:pStyle w:val="Normal"/>
        <w:ind w:firstLine="567"/>
        <w:jc w:val="both"/>
        <w:rPr/>
      </w:pPr>
      <w:r>
        <w:rPr>
          <w:rFonts w:cs="Times New Roman" w:ascii="Times New Roman" w:hAnsi="Times New Roman"/>
        </w:rPr>
        <w:t>коэффициент озелененных территорий земельного участка - не более 0,8 и не менее 0,4;</w:t>
      </w:r>
    </w:p>
    <w:p>
      <w:pPr>
        <w:pStyle w:val="Normal"/>
        <w:ind w:firstLine="567"/>
        <w:jc w:val="both"/>
        <w:rPr/>
      </w:pPr>
      <w:r>
        <w:rPr>
          <w:rFonts w:cs="Times New Roman" w:ascii="Times New Roman" w:hAnsi="Times New Roman"/>
        </w:rPr>
        <w:t>минимальный противопожарный отступ от застройки – 6 м;</w:t>
      </w:r>
    </w:p>
    <w:p>
      <w:pPr>
        <w:pStyle w:val="Normal"/>
        <w:ind w:firstLine="567"/>
        <w:jc w:val="both"/>
        <w:rPr/>
      </w:pPr>
      <w:r>
        <w:rPr>
          <w:rFonts w:cs="Times New Roman" w:ascii="Times New Roman" w:hAnsi="Times New Roman"/>
        </w:rPr>
        <w:t>количество машиномест на коттедж от 1 до 2;</w:t>
      </w:r>
    </w:p>
    <w:p>
      <w:pPr>
        <w:pStyle w:val="Normal"/>
        <w:ind w:firstLine="567"/>
        <w:jc w:val="both"/>
        <w:rPr/>
      </w:pPr>
      <w:r>
        <w:rPr>
          <w:rFonts w:cs="Times New Roman" w:ascii="Times New Roman" w:hAnsi="Times New Roman"/>
        </w:rPr>
        <w:t>площадь, занимаемая объектами, размещение которых настоящей статьей определено в качестве вспомогательных видов разрешенного использования и условно разрешенных видов использования, не должна превышать 20 % площади квартала, микрорайона, иного элемента планировочной структуры зоны объектов коттеджного типа.</w:t>
      </w:r>
    </w:p>
    <w:p>
      <w:pPr>
        <w:pStyle w:val="Normal"/>
        <w:ind w:firstLine="567"/>
        <w:jc w:val="both"/>
        <w:rPr/>
      </w:pPr>
      <w:r>
        <w:rPr>
          <w:rFonts w:cs="Times New Roman" w:ascii="Times New Roman" w:hAnsi="Times New Roman"/>
        </w:rPr>
        <w:t>6. Отдельно стоящие объекты размещения (коттеджи и шале) должны иметь не ниже III степени огнестойкости. Разрывы между данными объектами принимать согласно действующему законодательству.</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35" w:name="_Toc424230650"/>
      <w:r>
        <w:rPr>
          <w:rFonts w:cs="Times New Roman"/>
        </w:rPr>
        <w:t xml:space="preserve">Статья 16. </w:t>
      </w:r>
      <w:bookmarkEnd w:id="235"/>
      <w:r>
        <w:rPr>
          <w:rFonts w:cs="Times New Roman"/>
          <w:szCs w:val="24"/>
        </w:rPr>
        <w:t>Зона апарт-отелей и апартаментов</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Зона апарт-отелей и апартаментов включает в себя участки территории ВТРК «Архыз», предназначенные для размещения апартаментов и апарт-отелей.</w:t>
      </w:r>
    </w:p>
    <w:p>
      <w:pPr>
        <w:pStyle w:val="Normal"/>
        <w:ind w:firstLine="567"/>
        <w:jc w:val="both"/>
        <w:rPr/>
      </w:pPr>
      <w:r>
        <w:rPr>
          <w:rFonts w:cs="Times New Roman" w:ascii="Times New Roman" w:hAnsi="Times New Roman"/>
        </w:rPr>
        <w:t>В зоне апарт-отелей и апартаментов допускается размещение объектов торговли, общественного питания, открытых стоянок для временной парковки автомобильного транспорта, коммунальных и линейных объектов, иных объектов в случаях, предусмотренных настоящей статьей.</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гостиничное обслуживание (размещение апартаментов и апарт-отелей).</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магазины (размещение встроенно-пристроенных объектов торговли);</w:t>
      </w:r>
    </w:p>
    <w:p>
      <w:pPr>
        <w:pStyle w:val="Normal"/>
        <w:ind w:firstLine="567"/>
        <w:jc w:val="both"/>
        <w:rPr/>
      </w:pPr>
      <w:r>
        <w:rPr>
          <w:rFonts w:cs="Times New Roman" w:ascii="Times New Roman" w:hAnsi="Times New Roman"/>
        </w:rPr>
        <w:t>2) общественное питание (размещение встроенно-пристроенных объектов общественного питания);</w:t>
      </w:r>
    </w:p>
    <w:p>
      <w:pPr>
        <w:pStyle w:val="Normal"/>
        <w:ind w:firstLine="567"/>
        <w:jc w:val="both"/>
        <w:rPr/>
      </w:pPr>
      <w:r>
        <w:rPr>
          <w:rFonts w:cs="Times New Roman" w:ascii="Times New Roman" w:hAnsi="Times New Roman"/>
        </w:rPr>
        <w:t>3) обслуживание автотранспорта (размещение открытых площадок для временной парковки автомобильного транспорта);</w:t>
      </w:r>
    </w:p>
    <w:p>
      <w:pPr>
        <w:pStyle w:val="Normal"/>
        <w:ind w:firstLine="567"/>
        <w:jc w:val="both"/>
        <w:rPr/>
      </w:pPr>
      <w:r>
        <w:rPr>
          <w:rFonts w:cs="Times New Roman" w:ascii="Times New Roman" w:hAnsi="Times New Roman"/>
        </w:rPr>
        <w:t>4) автомобильный транспорт (размещение площадок зоны приезда, размещение разгрузочных площадок автомобильного транспорта для загрузки и вывоза мусора);</w:t>
      </w:r>
    </w:p>
    <w:p>
      <w:pPr>
        <w:pStyle w:val="Normal"/>
        <w:ind w:firstLine="567"/>
        <w:jc w:val="both"/>
        <w:rPr/>
      </w:pPr>
      <w:r>
        <w:rPr>
          <w:rFonts w:cs="Times New Roman" w:ascii="Times New Roman" w:hAnsi="Times New Roman"/>
        </w:rPr>
        <w:t>5) коммунальное обслуживание (размещение коммунальных объектов, объектов инженерного обеспечения, инженерной инфраструктуры и линейных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1) гостиничное обслуживание (размещение отдельно стоящих коттеджей и шале);</w:t>
      </w:r>
    </w:p>
    <w:p>
      <w:pPr>
        <w:pStyle w:val="Normal"/>
        <w:ind w:firstLine="567"/>
        <w:jc w:val="both"/>
        <w:rPr/>
      </w:pPr>
      <w:r>
        <w:rPr>
          <w:rFonts w:cs="Times New Roman" w:ascii="Times New Roman" w:hAnsi="Times New Roman"/>
        </w:rPr>
        <w:t>2) трубопроводный транспорт.</w:t>
      </w:r>
    </w:p>
    <w:p>
      <w:pPr>
        <w:pStyle w:val="Normal"/>
        <w:ind w:firstLine="567"/>
        <w:jc w:val="both"/>
        <w:rPr/>
      </w:pPr>
      <w:r>
        <w:rPr>
          <w:rFonts w:cs="Times New Roman" w:ascii="Times New Roman" w:hAnsi="Times New Roman"/>
        </w:rPr>
        <w:t>5. Предельные параметры разрешенного строительства, реконструкции объектов капитального строительства на территории новых и реконструируемых кварталов в зоне апарт-отелей и апартаментов:</w:t>
      </w:r>
    </w:p>
    <w:p>
      <w:pPr>
        <w:pStyle w:val="Normal"/>
        <w:ind w:firstLine="567"/>
        <w:jc w:val="both"/>
        <w:rPr/>
      </w:pPr>
      <w:r>
        <w:rPr>
          <w:rFonts w:cs="Times New Roman" w:ascii="Times New Roman" w:hAnsi="Times New Roman"/>
        </w:rPr>
        <w:t>максимальный уклон земельного участка при размещении апарт-отелей – 20 %, апартаментов – 15 %, для пожарных проездов не более – 10 %, при размещении отдельно стоящих коттеджей и шале – 22,5 %;</w:t>
      </w:r>
    </w:p>
    <w:p>
      <w:pPr>
        <w:pStyle w:val="Normal"/>
        <w:ind w:firstLine="567"/>
        <w:jc w:val="both"/>
        <w:rPr/>
      </w:pPr>
      <w:r>
        <w:rPr>
          <w:rFonts w:cs="Times New Roman" w:ascii="Times New Roman" w:hAnsi="Times New Roman"/>
        </w:rPr>
        <w:t>расстояние от границ зоны апарт-отелей и апартаментов до древесно-кустарниковой растительности (лесопарков) – не менее 20 м, при размещении отдельно стоящих коттеджей и шале – не менее 15 м;</w:t>
      </w:r>
    </w:p>
    <w:p>
      <w:pPr>
        <w:pStyle w:val="Normal"/>
        <w:ind w:firstLine="567"/>
        <w:jc w:val="both"/>
        <w:rPr/>
      </w:pPr>
      <w:r>
        <w:rPr>
          <w:rFonts w:cs="Times New Roman" w:ascii="Times New Roman" w:hAnsi="Times New Roman"/>
        </w:rPr>
        <w:t>расстояние между зданиями – не менее 10 м, расстояние между отдельно стоящими коттеджами и шале – согласно нормативам;</w:t>
      </w:r>
    </w:p>
    <w:p>
      <w:pPr>
        <w:pStyle w:val="Normal"/>
        <w:ind w:firstLine="567"/>
        <w:jc w:val="both"/>
        <w:rPr/>
      </w:pPr>
      <w:r>
        <w:rPr>
          <w:rFonts w:cs="Times New Roman" w:ascii="Times New Roman" w:hAnsi="Times New Roman"/>
        </w:rPr>
        <w:t>для апартаментов и апарт-отелей этажность – не более 6 и не менее 2, для отдельно стоящих коттеджей и шале этажность - не более 3;</w:t>
      </w:r>
    </w:p>
    <w:p>
      <w:pPr>
        <w:pStyle w:val="Normal"/>
        <w:ind w:firstLine="567"/>
        <w:jc w:val="both"/>
        <w:rPr/>
      </w:pPr>
      <w:r>
        <w:rPr>
          <w:rFonts w:cs="Times New Roman" w:ascii="Times New Roman" w:hAnsi="Times New Roman"/>
        </w:rPr>
        <w:t>для апартаментов и апарт-отелей максимальная высота – 26 м, минимальная – 8 м;</w:t>
      </w:r>
    </w:p>
    <w:p>
      <w:pPr>
        <w:pStyle w:val="Normal"/>
        <w:ind w:firstLine="567"/>
        <w:jc w:val="both"/>
        <w:rPr/>
      </w:pPr>
      <w:r>
        <w:rPr>
          <w:rFonts w:cs="Times New Roman" w:ascii="Times New Roman" w:hAnsi="Times New Roman"/>
        </w:rPr>
        <w:t>для отдельно стоящих коттеджей и шале максимальная высота – 15 м, минимальная – 3 м;</w:t>
      </w:r>
    </w:p>
    <w:p>
      <w:pPr>
        <w:pStyle w:val="Normal"/>
        <w:ind w:firstLine="567"/>
        <w:jc w:val="both"/>
        <w:rPr/>
      </w:pPr>
      <w:r>
        <w:rPr>
          <w:rFonts w:cs="Times New Roman" w:ascii="Times New Roman" w:hAnsi="Times New Roman"/>
        </w:rPr>
        <w:t>минимальный отступ от красной линии до зданий, строений, сооружений при осуществлении строительства - 3 м, а при размещении на первом этаже здания объектов торговли или общественного питания – 0 м, уточняется на стадии проектной документации;</w:t>
      </w:r>
    </w:p>
    <w:p>
      <w:pPr>
        <w:pStyle w:val="Normal"/>
        <w:ind w:firstLine="567"/>
        <w:jc w:val="both"/>
        <w:rPr/>
      </w:pPr>
      <w:r>
        <w:rPr>
          <w:rFonts w:cs="Times New Roman" w:ascii="Times New Roman" w:hAnsi="Times New Roman"/>
        </w:rPr>
        <w:t>минимальный отступ от красной линии до зданий, строений, сооружений при осуществлении строительства отдельно стоящих коттеджей и шале - 5 м, уточняется на стадии проектной документации;</w:t>
      </w:r>
    </w:p>
    <w:p>
      <w:pPr>
        <w:pStyle w:val="Normal"/>
        <w:ind w:firstLine="567"/>
        <w:jc w:val="both"/>
        <w:rPr/>
      </w:pPr>
      <w:r>
        <w:rPr>
          <w:rFonts w:cs="Times New Roman" w:ascii="Times New Roman" w:hAnsi="Times New Roman"/>
        </w:rPr>
        <w:t>минимальный отступ от границы земельного участка внутри зоны апарт-отелей и апартаментов до зданий, строений, сооружений при осуществлении строительства – 3 м;</w:t>
      </w:r>
    </w:p>
    <w:p>
      <w:pPr>
        <w:pStyle w:val="Normal"/>
        <w:ind w:firstLine="567"/>
        <w:jc w:val="both"/>
        <w:rPr/>
      </w:pPr>
      <w:r>
        <w:rPr>
          <w:rFonts w:cs="Times New Roman" w:ascii="Times New Roman" w:hAnsi="Times New Roman"/>
        </w:rPr>
        <w:t>минимальный отступ от любых объектов капитального строительства на соседних земельных участках до зданий, строений, сооружений при осуществлении строительства внутри зоны апарт-отелей и апартаментов – 6 м;</w:t>
      </w:r>
    </w:p>
    <w:p>
      <w:pPr>
        <w:pStyle w:val="Normal"/>
        <w:ind w:firstLine="567"/>
        <w:jc w:val="both"/>
        <w:rPr/>
      </w:pPr>
      <w:r>
        <w:rPr>
          <w:rFonts w:cs="Times New Roman" w:ascii="Times New Roman" w:hAnsi="Times New Roman"/>
        </w:rPr>
        <w:t>коэффициент застройки - не более 0,4 и не менее 0,19;</w:t>
      </w:r>
    </w:p>
    <w:p>
      <w:pPr>
        <w:pStyle w:val="Normal"/>
        <w:ind w:firstLine="567"/>
        <w:jc w:val="both"/>
        <w:rPr/>
      </w:pPr>
      <w:r>
        <w:rPr>
          <w:rFonts w:cs="Times New Roman" w:ascii="Times New Roman" w:hAnsi="Times New Roman"/>
        </w:rPr>
        <w:t>коэффициент свободных территорий - не менее 0,6;</w:t>
      </w:r>
    </w:p>
    <w:p>
      <w:pPr>
        <w:pStyle w:val="Normal"/>
        <w:ind w:firstLine="567"/>
        <w:jc w:val="both"/>
        <w:rPr/>
      </w:pPr>
      <w:r>
        <w:rPr>
          <w:rFonts w:cs="Times New Roman" w:ascii="Times New Roman" w:hAnsi="Times New Roman"/>
        </w:rPr>
        <w:t>коэффициент плотности застройки - не более 1,82;</w:t>
      </w:r>
    </w:p>
    <w:p>
      <w:pPr>
        <w:pStyle w:val="Normal"/>
        <w:ind w:firstLine="567"/>
        <w:jc w:val="both"/>
        <w:rPr/>
      </w:pPr>
      <w:r>
        <w:rPr>
          <w:rFonts w:cs="Times New Roman" w:ascii="Times New Roman" w:hAnsi="Times New Roman"/>
        </w:rPr>
        <w:t>коэффициент благоустроенных территорий земельного участка - не более 0,2 и не менее 0,15;</w:t>
      </w:r>
    </w:p>
    <w:p>
      <w:pPr>
        <w:pStyle w:val="Normal"/>
        <w:ind w:firstLine="567"/>
        <w:jc w:val="both"/>
        <w:rPr/>
      </w:pPr>
      <w:r>
        <w:rPr>
          <w:rFonts w:cs="Times New Roman" w:ascii="Times New Roman" w:hAnsi="Times New Roman"/>
        </w:rPr>
        <w:t>коэффициент благоустроенных территорий земельного участка при строительстве отдельно стоящих коттеджей и шале - не более 0,25 и не менее 0,10;</w:t>
      </w:r>
    </w:p>
    <w:p>
      <w:pPr>
        <w:pStyle w:val="Normal"/>
        <w:ind w:firstLine="567"/>
        <w:jc w:val="both"/>
        <w:rPr/>
      </w:pPr>
      <w:r>
        <w:rPr>
          <w:rFonts w:cs="Times New Roman" w:ascii="Times New Roman" w:hAnsi="Times New Roman"/>
        </w:rPr>
        <w:t>коэффициент озелененных территорий для земельных участков с расположенными на них апарт-отелями - не более 0,7 и не менее 0,35, для земельных участков с расположенными на них апартаментами - не более 0,6 и не менее 0,3, для земельных участков с расположенными на них отдельно стоящими коттеджами и шале - не более 0,8 и не менее 0,4;</w:t>
      </w:r>
    </w:p>
    <w:p>
      <w:pPr>
        <w:pStyle w:val="Normal"/>
        <w:ind w:firstLine="567"/>
        <w:jc w:val="both"/>
        <w:rPr/>
      </w:pPr>
      <w:r>
        <w:rPr>
          <w:rFonts w:cs="Times New Roman" w:ascii="Times New Roman" w:hAnsi="Times New Roman"/>
        </w:rPr>
        <w:t>минимальный противопожарный отступ от застройки – 5 м, от застройки отдельно стоящими коттеджами и шале – 6 м;</w:t>
      </w:r>
    </w:p>
    <w:p>
      <w:pPr>
        <w:pStyle w:val="Normal"/>
        <w:ind w:firstLine="567"/>
        <w:jc w:val="both"/>
        <w:rPr/>
      </w:pPr>
      <w:r>
        <w:rPr>
          <w:rFonts w:cs="Times New Roman" w:ascii="Times New Roman" w:hAnsi="Times New Roman"/>
        </w:rPr>
        <w:t>количество машиномест на 1 га от 15 до 21 для апарт-отелей, от 12 до 21 для апартаментов;</w:t>
      </w:r>
    </w:p>
    <w:p>
      <w:pPr>
        <w:pStyle w:val="Normal"/>
        <w:ind w:firstLine="567"/>
        <w:jc w:val="both"/>
        <w:rPr/>
      </w:pPr>
      <w:r>
        <w:rPr>
          <w:rFonts w:cs="Times New Roman" w:ascii="Times New Roman" w:hAnsi="Times New Roman"/>
        </w:rPr>
        <w:t>количество машиномест на коттедж от 1 до 2;</w:t>
      </w:r>
    </w:p>
    <w:p>
      <w:pPr>
        <w:pStyle w:val="Normal"/>
        <w:ind w:firstLine="567"/>
        <w:jc w:val="both"/>
        <w:rPr/>
      </w:pPr>
      <w:r>
        <w:rPr>
          <w:rFonts w:cs="Times New Roman" w:ascii="Times New Roman" w:hAnsi="Times New Roman"/>
        </w:rPr>
        <w:t>площадь, занимаемая объектами, размещение которых настоящей статьей определено в качестве вспомогательных видов разрешенного использования и условно разрешенных видов использования, не должна превышать 20 % площади квартала, микрорайона, иного элемента планировочной структуры зоны апарт-отелей и апартаментов.</w:t>
      </w:r>
    </w:p>
    <w:p>
      <w:pPr>
        <w:pStyle w:val="Normal"/>
        <w:ind w:firstLine="567"/>
        <w:jc w:val="both"/>
        <w:rPr/>
      </w:pPr>
      <w:r>
        <w:rPr>
          <w:rFonts w:cs="Times New Roman" w:ascii="Times New Roman" w:hAnsi="Times New Roman"/>
        </w:rPr>
        <w:t>6. Апартаменты, апарт-отели должны иметь не ниже II степени огнестойкости. Разрывы между данными объектами принимать согласно действующему законодательству.</w:t>
      </w:r>
    </w:p>
    <w:p>
      <w:pPr>
        <w:pStyle w:val="Normal"/>
        <w:ind w:firstLine="567"/>
        <w:jc w:val="both"/>
        <w:rPr/>
      </w:pPr>
      <w:r>
        <w:rPr>
          <w:rFonts w:cs="Times New Roman" w:ascii="Times New Roman" w:hAnsi="Times New Roman"/>
        </w:rPr>
        <w:t>7. Приведенные выше предельные параметры разрешенного строительства объектов капитального строительства не распространяются на объекты капитального строительства, проектируемые на земельных участках, входящих в территорию сложившейся застройки. По данным объектам предельные параметры разрешенного строительства определяются на стадии разработки проектной документации и согласовываются с управляющей компанией особой экономической зоны.</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36" w:name="_Toc424230651"/>
      <w:r>
        <w:rPr>
          <w:rFonts w:cs="Times New Roman"/>
        </w:rPr>
        <w:t xml:space="preserve">Статья 17. </w:t>
      </w:r>
      <w:bookmarkEnd w:id="236"/>
      <w:r>
        <w:rPr>
          <w:rFonts w:cs="Times New Roman"/>
          <w:szCs w:val="24"/>
        </w:rPr>
        <w:t>Зона гостиниц, объектов общественного и коммерческого назначения</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Зона гостиниц, объектов общественного и коммерческого назначения включает в себя участки территории ВТРК «Архыз», предназначенные для размещения гостиниц, объектов торговли, объектов общественного питания, объектов развлечения и спорта.</w:t>
      </w:r>
    </w:p>
    <w:p>
      <w:pPr>
        <w:pStyle w:val="Normal"/>
        <w:ind w:firstLine="567"/>
        <w:jc w:val="both"/>
        <w:rPr/>
      </w:pPr>
      <w:r>
        <w:rPr>
          <w:rFonts w:cs="Times New Roman" w:ascii="Times New Roman" w:hAnsi="Times New Roman"/>
        </w:rPr>
        <w:t>В зоне гостиниц, объектов общественного и коммерческого назначения допускается размещение административных объектов, объектов здравоохранения, открытых стоянок для временной парковки автомобильного транспорта, коммунальных и линейных объектов, иных объектов в случаях, предусмотренных настоящей статьей.</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1) гостиничное обслуживание (размещение гостиниц 3-х, 4-х и 5-ти звезд);</w:t>
      </w:r>
    </w:p>
    <w:p>
      <w:pPr>
        <w:pStyle w:val="Normal"/>
        <w:ind w:firstLine="567"/>
        <w:jc w:val="both"/>
        <w:rPr/>
      </w:pPr>
      <w:r>
        <w:rPr>
          <w:rFonts w:cs="Times New Roman" w:ascii="Times New Roman" w:hAnsi="Times New Roman"/>
        </w:rPr>
        <w:t>2) магазины (включая размещение встроенно-пристроенных объектов торговли);</w:t>
      </w:r>
    </w:p>
    <w:p>
      <w:pPr>
        <w:pStyle w:val="Normal"/>
        <w:ind w:firstLine="567"/>
        <w:jc w:val="both"/>
        <w:rPr/>
      </w:pPr>
      <w:r>
        <w:rPr>
          <w:rFonts w:cs="Times New Roman" w:ascii="Times New Roman" w:hAnsi="Times New Roman"/>
        </w:rPr>
        <w:t>3) общественное питание (включая размещение встроенно-пристроенных объектов общественного питания);</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бытовое обслуживание (включая размещение встроенно-пристроенных объектов бытового обслуживания);</w:t>
      </w:r>
    </w:p>
    <w:p>
      <w:pPr>
        <w:pStyle w:val="Normal"/>
        <w:ind w:firstLine="567"/>
        <w:jc w:val="both"/>
        <w:rPr/>
      </w:pPr>
      <w:r>
        <w:rPr>
          <w:rFonts w:cs="Times New Roman" w:ascii="Times New Roman" w:hAnsi="Times New Roman"/>
        </w:rPr>
        <w:t>2) здравоохранение (включая размещение встроенно-пристроенных объектов здравоохранения);</w:t>
      </w:r>
    </w:p>
    <w:p>
      <w:pPr>
        <w:pStyle w:val="Normal"/>
        <w:ind w:firstLine="567"/>
        <w:jc w:val="both"/>
        <w:rPr/>
      </w:pPr>
      <w:r>
        <w:rPr>
          <w:rFonts w:cs="Times New Roman" w:ascii="Times New Roman" w:hAnsi="Times New Roman"/>
        </w:rPr>
        <w:t>3) культурное развитие (включая размещение встроенно-пристроенных объектов культуры и искусства);</w:t>
      </w:r>
    </w:p>
    <w:p>
      <w:pPr>
        <w:pStyle w:val="Normal"/>
        <w:ind w:firstLine="567"/>
        <w:jc w:val="both"/>
        <w:rPr/>
      </w:pPr>
      <w:r>
        <w:rPr>
          <w:rFonts w:cs="Times New Roman" w:ascii="Times New Roman" w:hAnsi="Times New Roman"/>
        </w:rPr>
        <w:t>4) развлечения (включая размещение встроенно-пристроенных объектов развлечения);</w:t>
      </w:r>
    </w:p>
    <w:p>
      <w:pPr>
        <w:pStyle w:val="Normal"/>
        <w:ind w:firstLine="567"/>
        <w:jc w:val="both"/>
        <w:rPr/>
      </w:pPr>
      <w:r>
        <w:rPr>
          <w:rFonts w:cs="Times New Roman" w:ascii="Times New Roman" w:hAnsi="Times New Roman"/>
        </w:rPr>
        <w:t>5) спорт (включая размещение встроенно-пристроенных объектов спорта);</w:t>
      </w:r>
    </w:p>
    <w:p>
      <w:pPr>
        <w:pStyle w:val="Normal"/>
        <w:ind w:firstLine="567"/>
        <w:jc w:val="both"/>
        <w:rPr/>
      </w:pPr>
      <w:r>
        <w:rPr>
          <w:rFonts w:cs="Times New Roman" w:ascii="Times New Roman" w:hAnsi="Times New Roman"/>
        </w:rPr>
        <w:t>6) общественное управление (размещение административных объектов, включая встроенно-пристроенные);</w:t>
      </w:r>
    </w:p>
    <w:p>
      <w:pPr>
        <w:pStyle w:val="Normal"/>
        <w:ind w:firstLine="567"/>
        <w:jc w:val="both"/>
        <w:rPr/>
      </w:pPr>
      <w:r>
        <w:rPr>
          <w:rFonts w:cs="Times New Roman" w:ascii="Times New Roman" w:hAnsi="Times New Roman"/>
        </w:rPr>
        <w:t>7) обслуживание автотранспорта (размещение открытых площадок для временной парковки автомобильного транспорта);</w:t>
      </w:r>
    </w:p>
    <w:p>
      <w:pPr>
        <w:pStyle w:val="Normal"/>
        <w:ind w:firstLine="567"/>
        <w:jc w:val="both"/>
        <w:rPr/>
      </w:pPr>
      <w:r>
        <w:rPr>
          <w:rFonts w:cs="Times New Roman" w:ascii="Times New Roman" w:hAnsi="Times New Roman"/>
        </w:rPr>
        <w:t>8) автомобильный транспорт (размещение площадок зоны приезда, размещение разгрузочных площадок автомобильного транспорта для загрузки и вывоза мусора);</w:t>
      </w:r>
    </w:p>
    <w:p>
      <w:pPr>
        <w:pStyle w:val="Normal"/>
        <w:ind w:firstLine="567"/>
        <w:jc w:val="both"/>
        <w:rPr/>
      </w:pPr>
      <w:r>
        <w:rPr>
          <w:rFonts w:cs="Times New Roman" w:ascii="Times New Roman" w:hAnsi="Times New Roman"/>
        </w:rPr>
        <w:t>9) коммунальное обслуживание (размещение объектов инженерного обеспечения, инженерной инфраструктуры и линейных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1) коммунальное обслуживание (размещение коммунальных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2) гостиничное обслуживание (размещение отдельно стоящих коттеджей и шале);</w:t>
      </w:r>
    </w:p>
    <w:p>
      <w:pPr>
        <w:pStyle w:val="Normal"/>
        <w:ind w:firstLine="567"/>
        <w:jc w:val="both"/>
        <w:rPr/>
      </w:pPr>
      <w:r>
        <w:rPr>
          <w:rFonts w:cs="Times New Roman" w:ascii="Times New Roman" w:hAnsi="Times New Roman"/>
        </w:rPr>
        <w:t>3) трубопроводный транспорт.</w:t>
      </w:r>
    </w:p>
    <w:p>
      <w:pPr>
        <w:pStyle w:val="Normal"/>
        <w:ind w:firstLine="567"/>
        <w:jc w:val="both"/>
        <w:rPr/>
      </w:pPr>
      <w:r>
        <w:rPr>
          <w:rFonts w:cs="Times New Roman" w:ascii="Times New Roman" w:hAnsi="Times New Roman"/>
        </w:rPr>
        <w:t>5. Предельные параметры разрешенного строительства, реконструкции объектов капитального строительства на территории новых и реконструируемых кварталов в зоне гостиниц, объектов общественного и коммерческого назначения:</w:t>
      </w:r>
    </w:p>
    <w:p>
      <w:pPr>
        <w:pStyle w:val="Normal"/>
        <w:ind w:firstLine="567"/>
        <w:jc w:val="both"/>
        <w:rPr/>
      </w:pPr>
      <w:r>
        <w:rPr>
          <w:rFonts w:cs="Times New Roman" w:ascii="Times New Roman" w:hAnsi="Times New Roman"/>
        </w:rPr>
        <w:t>максимальный уклон земельного участка при размещении гостиниц – 20 %, для пожарных проездов не более – 10%, при размещении отдельно стоящих коттеджей и шале – 22,5 %;</w:t>
      </w:r>
    </w:p>
    <w:p>
      <w:pPr>
        <w:pStyle w:val="Normal"/>
        <w:ind w:firstLine="567"/>
        <w:jc w:val="both"/>
        <w:rPr/>
      </w:pPr>
      <w:r>
        <w:rPr>
          <w:rFonts w:cs="Times New Roman" w:ascii="Times New Roman" w:hAnsi="Times New Roman"/>
        </w:rPr>
        <w:t>расстояние от границ зоны гостиниц, объектов общественного и коммерческого назначения до древесно-кустарниковой растительности (лесопарков) – не менее 20 м, при размещении отдельно стоящих коттеджей и шале – не менее 15 м;</w:t>
      </w:r>
    </w:p>
    <w:p>
      <w:pPr>
        <w:pStyle w:val="Normal"/>
        <w:ind w:firstLine="567"/>
        <w:jc w:val="both"/>
        <w:rPr/>
      </w:pPr>
      <w:r>
        <w:rPr>
          <w:rFonts w:cs="Times New Roman" w:ascii="Times New Roman" w:hAnsi="Times New Roman"/>
        </w:rPr>
        <w:t>минимальное расстояние от объектов общественного и коммерческого назначения до сооружений, предназначенных для использования детьми – 100 м;</w:t>
      </w:r>
    </w:p>
    <w:p>
      <w:pPr>
        <w:pStyle w:val="Normal"/>
        <w:ind w:firstLine="567"/>
        <w:jc w:val="both"/>
        <w:rPr/>
      </w:pPr>
      <w:r>
        <w:rPr>
          <w:rFonts w:cs="Times New Roman" w:ascii="Times New Roman" w:hAnsi="Times New Roman"/>
        </w:rPr>
        <w:t>расстояние между зданиями – не менее 10 м, расстояние между отдельно стоящими коттеджами и шале – согласно нормативам;</w:t>
      </w:r>
    </w:p>
    <w:p>
      <w:pPr>
        <w:pStyle w:val="Normal"/>
        <w:ind w:firstLine="567"/>
        <w:jc w:val="both"/>
        <w:rPr/>
      </w:pPr>
      <w:r>
        <w:rPr>
          <w:rFonts w:cs="Times New Roman" w:ascii="Times New Roman" w:hAnsi="Times New Roman"/>
        </w:rPr>
        <w:t>для гостиниц этажность – не более 6 и не менее 3, для объектов общественного и коммерческого назначения этажность – не более 6, для отдельно стоящих коттеджей и шале этажность - не более 3;</w:t>
      </w:r>
    </w:p>
    <w:p>
      <w:pPr>
        <w:pStyle w:val="Normal"/>
        <w:ind w:firstLine="567"/>
        <w:jc w:val="both"/>
        <w:rPr/>
      </w:pPr>
      <w:r>
        <w:rPr>
          <w:rFonts w:cs="Times New Roman" w:ascii="Times New Roman" w:hAnsi="Times New Roman"/>
        </w:rPr>
        <w:t>для гостиниц максимальная высота – 26 м, минимальная – 12 м;</w:t>
      </w:r>
    </w:p>
    <w:p>
      <w:pPr>
        <w:pStyle w:val="Normal"/>
        <w:ind w:firstLine="567"/>
        <w:jc w:val="both"/>
        <w:rPr/>
      </w:pPr>
      <w:r>
        <w:rPr>
          <w:rFonts w:cs="Times New Roman" w:ascii="Times New Roman" w:hAnsi="Times New Roman"/>
        </w:rPr>
        <w:t>для объектов общественного и коммерческого назначения максимальная высота – 32 м, минимальная – 5 м;</w:t>
      </w:r>
    </w:p>
    <w:p>
      <w:pPr>
        <w:pStyle w:val="Normal"/>
        <w:ind w:firstLine="567"/>
        <w:jc w:val="both"/>
        <w:rPr/>
      </w:pPr>
      <w:r>
        <w:rPr>
          <w:rFonts w:cs="Times New Roman" w:ascii="Times New Roman" w:hAnsi="Times New Roman"/>
        </w:rPr>
        <w:t>для отдельно стоящих коттеджей и шале максимальная высота – 15 м, минимальная – 3 м;</w:t>
      </w:r>
    </w:p>
    <w:p>
      <w:pPr>
        <w:pStyle w:val="Normal"/>
        <w:ind w:firstLine="567"/>
        <w:jc w:val="both"/>
        <w:rPr/>
      </w:pPr>
      <w:r>
        <w:rPr>
          <w:rFonts w:cs="Times New Roman" w:ascii="Times New Roman" w:hAnsi="Times New Roman"/>
        </w:rPr>
        <w:t>минимальный отступ от красной линии до гостиниц при осуществлении строительства - 3 м, а при размещении на первом этаже гостиниц объектов торговли или общественного питания – 0 м, при размещении остальных типов объектов – 0 м, уточняется на стадии проектной документации;</w:t>
      </w:r>
    </w:p>
    <w:p>
      <w:pPr>
        <w:pStyle w:val="Normal"/>
        <w:ind w:firstLine="567"/>
        <w:jc w:val="both"/>
        <w:rPr/>
      </w:pPr>
      <w:r>
        <w:rPr>
          <w:rFonts w:cs="Times New Roman" w:ascii="Times New Roman" w:hAnsi="Times New Roman"/>
        </w:rPr>
        <w:t>минимальный отступ от красной линии до зданий, строений, сооружений при осуществлении строительства отдельно стоящих коттеджей и шале - 5 м, уточняется на стадии проектной документации;</w:t>
      </w:r>
    </w:p>
    <w:p>
      <w:pPr>
        <w:pStyle w:val="Normal"/>
        <w:ind w:firstLine="567"/>
        <w:jc w:val="both"/>
        <w:rPr/>
      </w:pPr>
      <w:r>
        <w:rPr>
          <w:rFonts w:cs="Times New Roman" w:ascii="Times New Roman" w:hAnsi="Times New Roman"/>
        </w:rPr>
        <w:t>минимальный отступ от границы земельного участка внутри зоны гостиниц, объектов общественного и коммерческого назначения до зданий, строений, сооружений при осуществлении строительства гостиниц – 3 м, остальных типов объектов – 3 м;</w:t>
      </w:r>
    </w:p>
    <w:p>
      <w:pPr>
        <w:pStyle w:val="Normal"/>
        <w:ind w:firstLine="567"/>
        <w:jc w:val="both"/>
        <w:rPr/>
      </w:pPr>
      <w:r>
        <w:rPr>
          <w:rFonts w:cs="Times New Roman" w:ascii="Times New Roman" w:hAnsi="Times New Roman"/>
        </w:rPr>
        <w:t>минимальный отступ от любых объектов капитального строительства на соседних земельных участках до зданий, строений, сооружений при осуществлении строительства внутри зоны гостиниц, объектов общественного и коммерческого назначения – 6 м;</w:t>
      </w:r>
    </w:p>
    <w:p>
      <w:pPr>
        <w:pStyle w:val="Normal"/>
        <w:ind w:firstLine="567"/>
        <w:jc w:val="both"/>
        <w:rPr/>
      </w:pPr>
      <w:r>
        <w:rPr>
          <w:rFonts w:cs="Times New Roman" w:ascii="Times New Roman" w:hAnsi="Times New Roman"/>
        </w:rPr>
        <w:t>коэффициент застройки - не более 0,7 и не менее 0,08;</w:t>
      </w:r>
    </w:p>
    <w:p>
      <w:pPr>
        <w:pStyle w:val="Normal"/>
        <w:ind w:firstLine="567"/>
        <w:jc w:val="both"/>
        <w:rPr/>
      </w:pPr>
      <w:r>
        <w:rPr>
          <w:rFonts w:cs="Times New Roman" w:ascii="Times New Roman" w:hAnsi="Times New Roman"/>
        </w:rPr>
        <w:t>коэффициент свободных территорий - не менее 0,3;</w:t>
      </w:r>
    </w:p>
    <w:p>
      <w:pPr>
        <w:pStyle w:val="Normal"/>
        <w:ind w:firstLine="567"/>
        <w:jc w:val="both"/>
        <w:rPr/>
      </w:pPr>
      <w:r>
        <w:rPr>
          <w:rFonts w:cs="Times New Roman" w:ascii="Times New Roman" w:hAnsi="Times New Roman"/>
        </w:rPr>
        <w:t>коэффициент плотности застройки - не более 1,68;</w:t>
      </w:r>
    </w:p>
    <w:p>
      <w:pPr>
        <w:pStyle w:val="Normal"/>
        <w:ind w:firstLine="567"/>
        <w:jc w:val="both"/>
        <w:rPr/>
      </w:pPr>
      <w:r>
        <w:rPr>
          <w:rFonts w:cs="Times New Roman" w:ascii="Times New Roman" w:hAnsi="Times New Roman"/>
        </w:rPr>
        <w:t>коэффициент благоустроенных территорий земельного участка при строительстве гостиниц категории 5 звезд - не более 0,35 и не менее 0,2;</w:t>
      </w:r>
    </w:p>
    <w:p>
      <w:pPr>
        <w:pStyle w:val="Normal"/>
        <w:ind w:firstLine="567"/>
        <w:jc w:val="both"/>
        <w:rPr/>
      </w:pPr>
      <w:r>
        <w:rPr>
          <w:rFonts w:cs="Times New Roman" w:ascii="Times New Roman" w:hAnsi="Times New Roman"/>
        </w:rPr>
        <w:t>коэффициент благоустроенных территорий земельного участка при строительстве гостиниц категории 4 звезды - не более 0,25 и не менее 0,15;</w:t>
      </w:r>
    </w:p>
    <w:p>
      <w:pPr>
        <w:pStyle w:val="Normal"/>
        <w:ind w:firstLine="567"/>
        <w:jc w:val="both"/>
        <w:rPr/>
      </w:pPr>
      <w:r>
        <w:rPr>
          <w:rFonts w:cs="Times New Roman" w:ascii="Times New Roman" w:hAnsi="Times New Roman"/>
        </w:rPr>
        <w:t>коэффициент благоустроенных территорий земельного участка при строительстве гостиниц категории 3 звезды - не более 0,2 и не менее 0,1;</w:t>
      </w:r>
    </w:p>
    <w:p>
      <w:pPr>
        <w:pStyle w:val="Normal"/>
        <w:ind w:firstLine="567"/>
        <w:jc w:val="both"/>
        <w:rPr/>
      </w:pPr>
      <w:r>
        <w:rPr>
          <w:rFonts w:cs="Times New Roman" w:ascii="Times New Roman" w:hAnsi="Times New Roman"/>
        </w:rPr>
        <w:t>коэффициент благоустроенных территорий земельного участка при строительстве отдельно стоящих коттеджей и шале - не более 0,25 и не менее 0,10;</w:t>
      </w:r>
    </w:p>
    <w:p>
      <w:pPr>
        <w:pStyle w:val="Normal"/>
        <w:ind w:firstLine="567"/>
        <w:jc w:val="both"/>
        <w:rPr/>
      </w:pPr>
      <w:r>
        <w:rPr>
          <w:rFonts w:cs="Times New Roman" w:ascii="Times New Roman" w:hAnsi="Times New Roman"/>
        </w:rPr>
        <w:t>коэффициент озелененных территорий для земельных участков с расположенными на них гостиницами категории 5 звезд - не более 0,7 и не менее 0,35, для земельных участков с расположенными на них гостиницами категории 4 звезды - не более 0,6 и не менее 0,3, для земельных участков с расположенными на них гостиницами категории 3 звезды - не более 0,5 и не менее 0,25, для земельных участков с расположенными на них отдельно стоящими коттеджами и шале - не более 0,8 и не менее 0,4;</w:t>
      </w:r>
    </w:p>
    <w:p>
      <w:pPr>
        <w:pStyle w:val="Normal"/>
        <w:ind w:firstLine="567"/>
        <w:jc w:val="both"/>
        <w:rPr/>
      </w:pPr>
      <w:r>
        <w:rPr>
          <w:rFonts w:cs="Times New Roman" w:ascii="Times New Roman" w:hAnsi="Times New Roman"/>
        </w:rPr>
        <w:t>минимальный противопожарный отступ от застройки гостиницами – 6 м, объектами общественного и коммерческого назначения – 6 м, от застройки отдельно стоящими коттеджами и шале – 6 м;</w:t>
      </w:r>
    </w:p>
    <w:p>
      <w:pPr>
        <w:pStyle w:val="Normal"/>
        <w:ind w:firstLine="567"/>
        <w:jc w:val="both"/>
        <w:rPr/>
      </w:pPr>
      <w:r>
        <w:rPr>
          <w:rFonts w:cs="Times New Roman" w:ascii="Times New Roman" w:hAnsi="Times New Roman"/>
        </w:rPr>
        <w:t>количество машиномест на 1 га от 15 до 38 для гостиниц категории 5 звезд, от 9 до 16 для гостиниц категории 4 звезды, от 5 до 9 для гостиниц категории 3 звезды;</w:t>
      </w:r>
    </w:p>
    <w:p>
      <w:pPr>
        <w:pStyle w:val="Normal"/>
        <w:ind w:firstLine="567"/>
        <w:jc w:val="both"/>
        <w:rPr/>
      </w:pPr>
      <w:r>
        <w:rPr>
          <w:rFonts w:cs="Times New Roman" w:ascii="Times New Roman" w:hAnsi="Times New Roman"/>
        </w:rPr>
        <w:t>для объектов общественного и коммерческого назначения количество машиномест от 5 до 7 на 100 мест в залах или единовременных посетителей и персонала;</w:t>
      </w:r>
    </w:p>
    <w:p>
      <w:pPr>
        <w:pStyle w:val="Normal"/>
        <w:ind w:firstLine="567"/>
        <w:jc w:val="both"/>
        <w:rPr/>
      </w:pPr>
      <w:r>
        <w:rPr>
          <w:rFonts w:cs="Times New Roman" w:ascii="Times New Roman" w:hAnsi="Times New Roman"/>
        </w:rPr>
        <w:t>количество машиномест на коттедж от 1 до 2;</w:t>
      </w:r>
    </w:p>
    <w:p>
      <w:pPr>
        <w:pStyle w:val="Normal"/>
        <w:ind w:firstLine="567"/>
        <w:jc w:val="both"/>
        <w:rPr/>
      </w:pPr>
      <w:r>
        <w:rPr>
          <w:rFonts w:cs="Times New Roman" w:ascii="Times New Roman" w:hAnsi="Times New Roman"/>
        </w:rPr>
        <w:t>площадь, занимаемая объектами, размещение которых настоящей статьей определено в качестве вспомогательных видов разрешенного использования и условно разрешенных видов использования, не должна превышать 25 % площади квартала, микрорайона, иного элемента планировочной структуры зоны гостиниц, объектов общественного и коммерческого назначения.</w:t>
      </w:r>
    </w:p>
    <w:p>
      <w:pPr>
        <w:pStyle w:val="Normal"/>
        <w:ind w:firstLine="567"/>
        <w:jc w:val="both"/>
        <w:rPr/>
      </w:pPr>
      <w:r>
        <w:rPr>
          <w:rFonts w:cs="Times New Roman" w:ascii="Times New Roman" w:hAnsi="Times New Roman"/>
        </w:rPr>
        <w:t>6. Гостиницы должны иметь не ниже II степени огнестойкости. Разрывы между данными объектами принимать согласно действующему законодательству.</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37" w:name="_Toc424230652"/>
      <w:r>
        <w:rPr>
          <w:rFonts w:cs="Times New Roman"/>
        </w:rPr>
        <w:t xml:space="preserve">Статья 18. Зона </w:t>
      </w:r>
      <w:bookmarkEnd w:id="237"/>
      <w:r>
        <w:rPr>
          <w:rFonts w:cs="Times New Roman"/>
          <w:szCs w:val="24"/>
        </w:rPr>
        <w:t>общежитий для персонала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Зона общежитий для персонала включает в себя участки территории ВТРК «Архыз», предназначенные для размещения общежитий для обслуживающего персонала.</w:t>
      </w:r>
    </w:p>
    <w:p>
      <w:pPr>
        <w:pStyle w:val="Normal"/>
        <w:ind w:firstLine="567"/>
        <w:jc w:val="both"/>
        <w:rPr/>
      </w:pPr>
      <w:r>
        <w:rPr>
          <w:rFonts w:cs="Times New Roman" w:ascii="Times New Roman" w:hAnsi="Times New Roman"/>
        </w:rPr>
        <w:t>В зоне общежитий для персонала допускается размещение объектов торговли, общественного питания, открытых стоянок для временной парковки автомобильного транспорта, коммунальных и линейных объектов, иных объектов в случаях, предусмотренных настоящей статьей.</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гостиничное обслуживание (размещение общежитий для обслуживающего персонала).</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магазины (размещение встроенно-пристроенных объектов торговли);</w:t>
      </w:r>
    </w:p>
    <w:p>
      <w:pPr>
        <w:pStyle w:val="Normal"/>
        <w:ind w:firstLine="567"/>
        <w:jc w:val="both"/>
        <w:rPr/>
      </w:pPr>
      <w:r>
        <w:rPr>
          <w:rFonts w:cs="Times New Roman" w:ascii="Times New Roman" w:hAnsi="Times New Roman"/>
        </w:rPr>
        <w:t>2) общественное питание (размещение встроенно-пристроенных объектов общественного питания);</w:t>
      </w:r>
    </w:p>
    <w:p>
      <w:pPr>
        <w:pStyle w:val="Normal"/>
        <w:ind w:firstLine="567"/>
        <w:jc w:val="both"/>
        <w:rPr/>
      </w:pPr>
      <w:r>
        <w:rPr>
          <w:rFonts w:cs="Times New Roman" w:ascii="Times New Roman" w:hAnsi="Times New Roman"/>
        </w:rPr>
        <w:t>3) обслуживание автотранспорта (размещение открытых площадок для временной парковки автомобильного транспорта);</w:t>
      </w:r>
    </w:p>
    <w:p>
      <w:pPr>
        <w:pStyle w:val="Normal"/>
        <w:ind w:firstLine="567"/>
        <w:jc w:val="both"/>
        <w:rPr/>
      </w:pPr>
      <w:r>
        <w:rPr>
          <w:rFonts w:cs="Times New Roman" w:ascii="Times New Roman" w:hAnsi="Times New Roman"/>
        </w:rPr>
        <w:t>4) автомобильный транспорт (размещение разгрузочных площадок автомобильного транспорта для загрузки и вывоза мусора);</w:t>
      </w:r>
    </w:p>
    <w:p>
      <w:pPr>
        <w:pStyle w:val="Normal"/>
        <w:ind w:firstLine="567"/>
        <w:jc w:val="both"/>
        <w:rPr/>
      </w:pPr>
      <w:r>
        <w:rPr>
          <w:rFonts w:cs="Times New Roman" w:ascii="Times New Roman" w:hAnsi="Times New Roman"/>
        </w:rPr>
        <w:t>5) коммунальное обслуживание (размещение объектов инженерного обеспечения, инженерной инфраструктуры и линейных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1) коммунальное обслуживание (размещение коммунальных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2) гостиничное обслуживание (размещение гостиниц 3-х, 4-х и 5-ти звезд);</w:t>
      </w:r>
    </w:p>
    <w:p>
      <w:pPr>
        <w:pStyle w:val="Normal"/>
        <w:ind w:firstLine="567"/>
        <w:jc w:val="both"/>
        <w:rPr/>
      </w:pPr>
      <w:r>
        <w:rPr>
          <w:rFonts w:cs="Times New Roman" w:ascii="Times New Roman" w:hAnsi="Times New Roman"/>
        </w:rPr>
        <w:t>3) трубопроводный транспорт.</w:t>
      </w:r>
    </w:p>
    <w:p>
      <w:pPr>
        <w:pStyle w:val="Normal"/>
        <w:ind w:firstLine="567"/>
        <w:jc w:val="both"/>
        <w:rPr/>
      </w:pPr>
      <w:r>
        <w:rPr>
          <w:rFonts w:cs="Times New Roman" w:ascii="Times New Roman" w:hAnsi="Times New Roman"/>
        </w:rPr>
        <w:t>5. Предельные параметры разрешенного строительства, реконструкции объектов капитального строительства на территории новых и реконструируемых кварталов в зоне застройки средств размещения средней этажности:</w:t>
      </w:r>
    </w:p>
    <w:p>
      <w:pPr>
        <w:pStyle w:val="Normal"/>
        <w:ind w:firstLine="567"/>
        <w:jc w:val="both"/>
        <w:rPr/>
      </w:pPr>
      <w:r>
        <w:rPr>
          <w:rFonts w:cs="Times New Roman" w:ascii="Times New Roman" w:hAnsi="Times New Roman"/>
        </w:rPr>
        <w:t>максимальный уклон земельного участка – 20 %, для пожарных проездов не более – 10%;</w:t>
      </w:r>
    </w:p>
    <w:p>
      <w:pPr>
        <w:pStyle w:val="Normal"/>
        <w:ind w:firstLine="567"/>
        <w:jc w:val="both"/>
        <w:rPr/>
      </w:pPr>
      <w:r>
        <w:rPr>
          <w:rFonts w:cs="Times New Roman" w:ascii="Times New Roman" w:hAnsi="Times New Roman"/>
        </w:rPr>
        <w:t>расстояние от границ зоны общежитий для персонала до древесно-кустарниковой растительности (лесопарков) – не менее 20 м;</w:t>
      </w:r>
    </w:p>
    <w:p>
      <w:pPr>
        <w:pStyle w:val="Normal"/>
        <w:ind w:firstLine="567"/>
        <w:jc w:val="both"/>
        <w:rPr/>
      </w:pPr>
      <w:r>
        <w:rPr>
          <w:rFonts w:cs="Times New Roman" w:ascii="Times New Roman" w:hAnsi="Times New Roman"/>
        </w:rPr>
        <w:t>минимальное расстояние от общежитий для персонала до сооружений, предназначенных для использования детьми – 100 м;</w:t>
      </w:r>
    </w:p>
    <w:p>
      <w:pPr>
        <w:pStyle w:val="Normal"/>
        <w:ind w:firstLine="567"/>
        <w:jc w:val="both"/>
        <w:rPr/>
      </w:pPr>
      <w:r>
        <w:rPr>
          <w:rFonts w:cs="Times New Roman" w:ascii="Times New Roman" w:hAnsi="Times New Roman"/>
        </w:rPr>
        <w:t>расстояние между зданиями – не менее 6 м, при размещении гостиниц – не менее 10 м;</w:t>
      </w:r>
    </w:p>
    <w:p>
      <w:pPr>
        <w:pStyle w:val="Normal"/>
        <w:ind w:firstLine="567"/>
        <w:jc w:val="both"/>
        <w:rPr/>
      </w:pPr>
      <w:r>
        <w:rPr>
          <w:rFonts w:cs="Times New Roman" w:ascii="Times New Roman" w:hAnsi="Times New Roman"/>
        </w:rPr>
        <w:t>этажность - не более 6 этажей и не менее 4, для гостиниц этажность – не более 6 и не менее 3;</w:t>
      </w:r>
    </w:p>
    <w:p>
      <w:pPr>
        <w:pStyle w:val="Normal"/>
        <w:ind w:firstLine="567"/>
        <w:jc w:val="both"/>
        <w:rPr/>
      </w:pPr>
      <w:r>
        <w:rPr>
          <w:rFonts w:cs="Times New Roman" w:ascii="Times New Roman" w:hAnsi="Times New Roman"/>
        </w:rPr>
        <w:t>для общежитий для обслуживающего персонала максимальная высота – 32 м, минимальная – 22 м, для гостиниц максимальная высота – 26 м, минимальная – 12 м;</w:t>
      </w:r>
    </w:p>
    <w:p>
      <w:pPr>
        <w:pStyle w:val="Normal"/>
        <w:ind w:firstLine="567"/>
        <w:jc w:val="both"/>
        <w:rPr/>
      </w:pPr>
      <w:r>
        <w:rPr>
          <w:rFonts w:cs="Times New Roman" w:ascii="Times New Roman" w:hAnsi="Times New Roman"/>
        </w:rPr>
        <w:t>минимальный отступ от красной линии до зданий, строений, сооружений при осуществлении строительства - 3 м, при размещении на первом этаже общежитий для персонала и гостиниц объектов торговли или общественного питания – 0 м, при размещении остальных типов объектов – 0 м, уточняется на стадии проектной документации;</w:t>
      </w:r>
    </w:p>
    <w:p>
      <w:pPr>
        <w:pStyle w:val="Normal"/>
        <w:ind w:firstLine="567"/>
        <w:jc w:val="both"/>
        <w:rPr/>
      </w:pPr>
      <w:r>
        <w:rPr>
          <w:rFonts w:cs="Times New Roman" w:ascii="Times New Roman" w:hAnsi="Times New Roman"/>
        </w:rPr>
        <w:t>минимальный отступ от границы земельного участка внутри зоны общежитий для персонала до зданий, строений, сооружений при осуществлении строительства – 3 м;</w:t>
      </w:r>
    </w:p>
    <w:p>
      <w:pPr>
        <w:pStyle w:val="Normal"/>
        <w:ind w:firstLine="567"/>
        <w:jc w:val="both"/>
        <w:rPr/>
      </w:pPr>
      <w:r>
        <w:rPr>
          <w:rFonts w:cs="Times New Roman" w:ascii="Times New Roman" w:hAnsi="Times New Roman"/>
        </w:rPr>
        <w:t>минимальный отступ от любых объектов капитального строительства на соседних земельных участках до зданий, строений, сооружений при осуществлении строительства внутри зоны общежитий для персонала – 6 м;</w:t>
      </w:r>
    </w:p>
    <w:p>
      <w:pPr>
        <w:pStyle w:val="Normal"/>
        <w:ind w:firstLine="567"/>
        <w:jc w:val="both"/>
        <w:rPr/>
      </w:pPr>
      <w:r>
        <w:rPr>
          <w:rFonts w:cs="Times New Roman" w:ascii="Times New Roman" w:hAnsi="Times New Roman"/>
        </w:rPr>
        <w:t>коэффициент застройки - не более 0,38 и не менее 0,2;</w:t>
      </w:r>
    </w:p>
    <w:p>
      <w:pPr>
        <w:pStyle w:val="Normal"/>
        <w:ind w:firstLine="567"/>
        <w:jc w:val="both"/>
        <w:rPr/>
      </w:pPr>
      <w:r>
        <w:rPr>
          <w:rFonts w:cs="Times New Roman" w:ascii="Times New Roman" w:hAnsi="Times New Roman"/>
        </w:rPr>
        <w:t>коэффициент свободных территорий - не менее 0,62;</w:t>
      </w:r>
    </w:p>
    <w:p>
      <w:pPr>
        <w:pStyle w:val="Normal"/>
        <w:ind w:firstLine="567"/>
        <w:jc w:val="both"/>
        <w:rPr/>
      </w:pPr>
      <w:r>
        <w:rPr>
          <w:rFonts w:cs="Times New Roman" w:ascii="Times New Roman" w:hAnsi="Times New Roman"/>
        </w:rPr>
        <w:t>коэффициент плотности застройки - не более 2,28;</w:t>
      </w:r>
    </w:p>
    <w:p>
      <w:pPr>
        <w:pStyle w:val="Normal"/>
        <w:ind w:firstLine="567"/>
        <w:jc w:val="both"/>
        <w:rPr/>
      </w:pPr>
      <w:r>
        <w:rPr>
          <w:rFonts w:cs="Times New Roman" w:ascii="Times New Roman" w:hAnsi="Times New Roman"/>
        </w:rPr>
        <w:t>коэффициент благоустроенных территорий земельного участка - не более 0,25 и не менее 0,1;</w:t>
      </w:r>
    </w:p>
    <w:p>
      <w:pPr>
        <w:pStyle w:val="Normal"/>
        <w:ind w:firstLine="567"/>
        <w:jc w:val="both"/>
        <w:rPr/>
      </w:pPr>
      <w:r>
        <w:rPr>
          <w:rFonts w:cs="Times New Roman" w:ascii="Times New Roman" w:hAnsi="Times New Roman"/>
        </w:rPr>
        <w:t>коэффициент благоустроенных территорий земельного участка при строительстве гостиниц категории 5 звезд - не более 0,35 и не менее 0,2;</w:t>
      </w:r>
    </w:p>
    <w:p>
      <w:pPr>
        <w:pStyle w:val="Normal"/>
        <w:ind w:firstLine="567"/>
        <w:jc w:val="both"/>
        <w:rPr/>
      </w:pPr>
      <w:r>
        <w:rPr>
          <w:rFonts w:cs="Times New Roman" w:ascii="Times New Roman" w:hAnsi="Times New Roman"/>
        </w:rPr>
        <w:t>коэффициент благоустроенных территорий земельного участка при строительстве гостиниц категории 4 звезды - не более 0,25 и не менее 0,15;</w:t>
      </w:r>
    </w:p>
    <w:p>
      <w:pPr>
        <w:pStyle w:val="Normal"/>
        <w:ind w:firstLine="567"/>
        <w:jc w:val="both"/>
        <w:rPr/>
      </w:pPr>
      <w:r>
        <w:rPr>
          <w:rFonts w:cs="Times New Roman" w:ascii="Times New Roman" w:hAnsi="Times New Roman"/>
        </w:rPr>
        <w:t>коэффициент благоустроенных территорий земельного участка при строительстве гостиниц категории 3 звезды - не более 0,2 и не менее 0,1;</w:t>
      </w:r>
    </w:p>
    <w:p>
      <w:pPr>
        <w:pStyle w:val="Normal"/>
        <w:ind w:firstLine="567"/>
        <w:jc w:val="both"/>
        <w:rPr/>
      </w:pPr>
      <w:r>
        <w:rPr>
          <w:rFonts w:cs="Times New Roman" w:ascii="Times New Roman" w:hAnsi="Times New Roman"/>
        </w:rPr>
        <w:t>коэффициент озелененных территорий для земельного участка - не более 0,55 и не менее 0,25;</w:t>
      </w:r>
    </w:p>
    <w:p>
      <w:pPr>
        <w:pStyle w:val="Normal"/>
        <w:ind w:firstLine="567"/>
        <w:jc w:val="both"/>
        <w:rPr/>
      </w:pPr>
      <w:r>
        <w:rPr>
          <w:rFonts w:cs="Times New Roman" w:ascii="Times New Roman" w:hAnsi="Times New Roman"/>
        </w:rPr>
        <w:t>коэффициент озелененных территорий для земельных участков с расположенными на них гостиницами категории 5 звезд - не более 0,7 и не менее 0,35, для земельных участков с расположенными на них гостиницами категории 4 звезды - не более 0,6 и не менее 0,3, для земельных участков с расположенными на них гостиницами категории 3 звезды - не более 0,5 и не менее 0,25;</w:t>
      </w:r>
    </w:p>
    <w:p>
      <w:pPr>
        <w:pStyle w:val="Normal"/>
        <w:ind w:firstLine="567"/>
        <w:jc w:val="both"/>
        <w:rPr/>
      </w:pPr>
      <w:r>
        <w:rPr>
          <w:rFonts w:cs="Times New Roman" w:ascii="Times New Roman" w:hAnsi="Times New Roman"/>
        </w:rPr>
        <w:t>минимальный противопожарный отступ – 6 м;</w:t>
      </w:r>
    </w:p>
    <w:p>
      <w:pPr>
        <w:pStyle w:val="Normal"/>
        <w:ind w:firstLine="567"/>
        <w:jc w:val="both"/>
        <w:rPr/>
      </w:pPr>
      <w:r>
        <w:rPr>
          <w:rFonts w:cs="Times New Roman" w:ascii="Times New Roman" w:hAnsi="Times New Roman"/>
        </w:rPr>
        <w:t>количество машиномест на 1 га от 5 до 9;</w:t>
      </w:r>
    </w:p>
    <w:p>
      <w:pPr>
        <w:pStyle w:val="Normal"/>
        <w:ind w:firstLine="567"/>
        <w:jc w:val="both"/>
        <w:rPr/>
      </w:pPr>
      <w:r>
        <w:rPr>
          <w:rFonts w:cs="Times New Roman" w:ascii="Times New Roman" w:hAnsi="Times New Roman"/>
        </w:rPr>
        <w:t>количество машиномест на 1 га от 15 до 38 для гостиниц категории 5 звезд, от 9 до 16 для гостиниц категории 4 звезды, от 5 до 9 для гостиниц категории 3 звезды;</w:t>
      </w:r>
    </w:p>
    <w:p>
      <w:pPr>
        <w:pStyle w:val="Normal"/>
        <w:ind w:firstLine="567"/>
        <w:jc w:val="both"/>
        <w:rPr/>
      </w:pPr>
      <w:r>
        <w:rPr>
          <w:rFonts w:cs="Times New Roman" w:ascii="Times New Roman" w:hAnsi="Times New Roman"/>
        </w:rPr>
        <w:t>6) площадь, занимаемая объектами, размещение которых настоящей статьей определено в качестве вспомогательных видов разрешенного использования и условно разрешенных видов использования, не должна превышать 10 % площади квартала, микрорайона, иного элемента планировочной структуры зоны общежитий для персонала.</w:t>
      </w:r>
    </w:p>
    <w:p>
      <w:pPr>
        <w:pStyle w:val="Normal"/>
        <w:ind w:firstLine="567"/>
        <w:jc w:val="both"/>
        <w:rPr/>
      </w:pPr>
      <w:r>
        <w:rPr>
          <w:rFonts w:cs="Times New Roman" w:ascii="Times New Roman" w:hAnsi="Times New Roman"/>
        </w:rPr>
        <w:t>6. Общежития должны иметь не ниже II степени огнестойкости. Разрывы между данными объектами принимать согласно действующему законодательству.</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38" w:name="_Toc424230653"/>
      <w:bookmarkEnd w:id="238"/>
      <w:r>
        <w:rPr>
          <w:rFonts w:cs="Times New Roman"/>
        </w:rPr>
        <w:t>Статья 19. Зона объектов горнолыжной инфраструктуры</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Зона объектов горнолыжной инфраструктуры включает в себя участки территории ВТРК «Архыз», предназначенные для размещения горнолыжных трасс, канатных дорог и станций подъемников.</w:t>
      </w:r>
    </w:p>
    <w:p>
      <w:pPr>
        <w:pStyle w:val="Normal"/>
        <w:ind w:firstLine="567"/>
        <w:jc w:val="both"/>
        <w:rPr/>
      </w:pPr>
      <w:r>
        <w:rPr>
          <w:rFonts w:cs="Times New Roman" w:ascii="Times New Roman" w:hAnsi="Times New Roman"/>
        </w:rPr>
        <w:t>В зоне застройки объектов горнолыжной инфраструктуры допускается размещение объектов торговли, общественного питания, иных объектов в случаях, предусмотренных настоящей статьей.</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1) спорт (размещение горнолыжных трасс, канатных дорог, станций подъемников, гаражей гондол);</w:t>
      </w:r>
    </w:p>
    <w:p>
      <w:pPr>
        <w:pStyle w:val="Normal"/>
        <w:ind w:firstLine="567"/>
        <w:jc w:val="both"/>
        <w:rPr/>
      </w:pPr>
      <w:r>
        <w:rPr>
          <w:rFonts w:cs="Times New Roman" w:ascii="Times New Roman" w:hAnsi="Times New Roman"/>
        </w:rPr>
        <w:t>2) общественное питание.</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общественное питание (размещение встроенно-пристроенных объектов общественного питания);</w:t>
      </w:r>
    </w:p>
    <w:p>
      <w:pPr>
        <w:pStyle w:val="Normal"/>
        <w:ind w:firstLine="567"/>
        <w:jc w:val="both"/>
        <w:rPr/>
      </w:pPr>
      <w:r>
        <w:rPr>
          <w:rFonts w:cs="Times New Roman" w:ascii="Times New Roman" w:hAnsi="Times New Roman"/>
        </w:rPr>
        <w:t>2) здравоохранение (размещение пунктов оказания первой медицинской помощи, включая встроенно-пристроенные);</w:t>
      </w:r>
    </w:p>
    <w:p>
      <w:pPr>
        <w:pStyle w:val="Normal"/>
        <w:ind w:firstLine="567"/>
        <w:jc w:val="both"/>
        <w:rPr/>
      </w:pPr>
      <w:r>
        <w:rPr>
          <w:rFonts w:cs="Times New Roman" w:ascii="Times New Roman" w:hAnsi="Times New Roman"/>
        </w:rPr>
        <w:t>3) обеспечение внутреннего правопорядка (размещение помещений для горнолыжного патруля и метео-оборудования);</w:t>
      </w:r>
    </w:p>
    <w:p>
      <w:pPr>
        <w:pStyle w:val="Normal"/>
        <w:ind w:firstLine="567"/>
        <w:jc w:val="both"/>
        <w:rPr/>
      </w:pPr>
      <w:r>
        <w:rPr>
          <w:rFonts w:cs="Times New Roman" w:ascii="Times New Roman" w:hAnsi="Times New Roman"/>
        </w:rPr>
        <w:t>4) коммунальное обслуживание (размещение гаражей для ратраков и площадок для ратраков).</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трубопроводный транспорт.</w:t>
      </w:r>
    </w:p>
    <w:p>
      <w:pPr>
        <w:pStyle w:val="Normal"/>
        <w:ind w:firstLine="567"/>
        <w:jc w:val="both"/>
        <w:rPr/>
      </w:pPr>
      <w:r>
        <w:rPr>
          <w:rFonts w:cs="Times New Roman" w:ascii="Times New Roman" w:hAnsi="Times New Roman"/>
        </w:rPr>
        <w:t>5. Параметры разрешенного строительства, реконструкции объектов капитального строительства на территории новых и реконструируемых кварталов в зоне объектов горнолыжной инфраструктуры:</w:t>
      </w:r>
    </w:p>
    <w:p>
      <w:pPr>
        <w:pStyle w:val="Normal"/>
        <w:ind w:firstLine="567"/>
        <w:jc w:val="both"/>
        <w:rPr/>
      </w:pPr>
      <w:r>
        <w:rPr>
          <w:rFonts w:cs="Times New Roman" w:ascii="Times New Roman" w:hAnsi="Times New Roman"/>
        </w:rPr>
        <w:t>санитарно-защитная зона для объектов горнолыжной инфраструктуры определяется расчетом, но не менее 15 м;</w:t>
      </w:r>
    </w:p>
    <w:p>
      <w:pPr>
        <w:pStyle w:val="Normal"/>
        <w:ind w:firstLine="567"/>
        <w:jc w:val="both"/>
        <w:rPr/>
      </w:pPr>
      <w:r>
        <w:rPr>
          <w:rFonts w:cs="Times New Roman" w:ascii="Times New Roman" w:hAnsi="Times New Roman"/>
        </w:rPr>
        <w:t>зона безопасности объектов горнолыжной инфраструктуры определяется исходя из технологических характеристик оборудования;</w:t>
      </w:r>
    </w:p>
    <w:p>
      <w:pPr>
        <w:pStyle w:val="Normal"/>
        <w:ind w:firstLine="567"/>
        <w:jc w:val="both"/>
        <w:rPr/>
      </w:pPr>
      <w:r>
        <w:rPr>
          <w:rFonts w:cs="Times New Roman" w:ascii="Times New Roman" w:hAnsi="Times New Roman"/>
        </w:rPr>
        <w:t>этажность зданий, строений, сооружений - не более 3;</w:t>
      </w:r>
    </w:p>
    <w:p>
      <w:pPr>
        <w:pStyle w:val="Normal"/>
        <w:ind w:firstLine="567"/>
        <w:jc w:val="both"/>
        <w:rPr/>
      </w:pPr>
      <w:r>
        <w:rPr>
          <w:rFonts w:cs="Times New Roman" w:ascii="Times New Roman" w:hAnsi="Times New Roman"/>
        </w:rPr>
        <w:t>для зданий, строений, сооружений максимальная высота – 16 м, минимальная – 5 м;</w:t>
      </w:r>
    </w:p>
    <w:p>
      <w:pPr>
        <w:pStyle w:val="Normal"/>
        <w:ind w:firstLine="567"/>
        <w:jc w:val="both"/>
        <w:rPr/>
      </w:pPr>
      <w:r>
        <w:rPr>
          <w:rFonts w:cs="Times New Roman" w:ascii="Times New Roman" w:hAnsi="Times New Roman"/>
        </w:rPr>
        <w:t>минимальный отступ от красной линии до зданий, строений, сооружений при осуществлении строительства - 0 м, уточняется на стадии проектной документации;</w:t>
      </w:r>
    </w:p>
    <w:p>
      <w:pPr>
        <w:pStyle w:val="Normal"/>
        <w:ind w:firstLine="567"/>
        <w:jc w:val="both"/>
        <w:rPr/>
      </w:pPr>
      <w:r>
        <w:rPr>
          <w:rFonts w:cs="Times New Roman" w:ascii="Times New Roman" w:hAnsi="Times New Roman"/>
        </w:rPr>
        <w:t>минимальный отступ от границы земельного участка внутри зоны объектов горнолыжной инфраструктуры до зданий, строений, сооружений при осуществлении строительства – 15 м;</w:t>
      </w:r>
    </w:p>
    <w:p>
      <w:pPr>
        <w:pStyle w:val="Normal"/>
        <w:ind w:firstLine="567"/>
        <w:jc w:val="both"/>
        <w:rPr/>
      </w:pPr>
      <w:r>
        <w:rPr>
          <w:rFonts w:cs="Times New Roman" w:ascii="Times New Roman" w:hAnsi="Times New Roman"/>
        </w:rPr>
        <w:t>минимальный отступ от любых объектов капитального строительства на соседних земельных участках до зданий, строений, сооружений при осуществлении строительства внутри зоны горнолыжной инфраструктуры – 6 м.</w:t>
      </w:r>
    </w:p>
    <w:p>
      <w:pPr>
        <w:pStyle w:val="Normal"/>
        <w:tabs>
          <w:tab w:val="left" w:pos="1185" w:leader="none"/>
        </w:tabs>
        <w:ind w:firstLine="567"/>
        <w:jc w:val="both"/>
        <w:rPr/>
      </w:pPr>
      <w:r>
        <w:rPr>
          <w:rFonts w:cs="Times New Roman" w:ascii="Times New Roman" w:hAnsi="Times New Roman"/>
        </w:rPr>
        <w:t>6. Степень огнестойкости зданий и противопожарные разрывы должны соответствовать действующему законодательству.</w:t>
      </w:r>
    </w:p>
    <w:p>
      <w:pPr>
        <w:pStyle w:val="Normal"/>
        <w:tabs>
          <w:tab w:val="left" w:pos="1185" w:leader="none"/>
        </w:tabs>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39" w:name="_Toc424230654"/>
      <w:bookmarkEnd w:id="239"/>
      <w:r>
        <w:rPr>
          <w:rFonts w:cs="Times New Roman"/>
        </w:rPr>
        <w:t>Статья 20. Многофункциональная зона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Многофункциональная зона включает в себя участки территории ВТРК «Архыз», предназначенные для размещения открытых стоянок, подземных и многоэтажных гаражей-стоянок, объектов торговли, общественного питания и других объектов с коэффициентом застройки до 1 и возможностью расположения объектов на разных уровнях.</w:t>
      </w:r>
    </w:p>
    <w:p>
      <w:pPr>
        <w:pStyle w:val="Normal"/>
        <w:ind w:firstLine="567"/>
        <w:jc w:val="both"/>
        <w:rPr/>
      </w:pPr>
      <w:r>
        <w:rPr>
          <w:rFonts w:cs="Times New Roman" w:ascii="Times New Roman" w:hAnsi="Times New Roman"/>
        </w:rPr>
        <w:t>В многофункциональной зоне допускается размещение объектов здравоохранения, коммунально-бытового назначения, иных объектов в случаях, предусмотренных настоящей статьей.</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1) обслуживание автотранспорта (размещение открытых стоянок, подземных и многоэтажных гаражей-стоянок);</w:t>
      </w:r>
    </w:p>
    <w:p>
      <w:pPr>
        <w:pStyle w:val="Normal"/>
        <w:ind w:firstLine="567"/>
        <w:jc w:val="both"/>
        <w:rPr/>
      </w:pPr>
      <w:r>
        <w:rPr>
          <w:rFonts w:cs="Times New Roman" w:ascii="Times New Roman" w:hAnsi="Times New Roman"/>
        </w:rPr>
        <w:t>2) магазины;</w:t>
      </w:r>
    </w:p>
    <w:p>
      <w:pPr>
        <w:pStyle w:val="Normal"/>
        <w:ind w:firstLine="567"/>
        <w:jc w:val="both"/>
        <w:rPr/>
      </w:pPr>
      <w:r>
        <w:rPr>
          <w:rFonts w:cs="Times New Roman" w:ascii="Times New Roman" w:hAnsi="Times New Roman"/>
        </w:rPr>
        <w:t>3) общественное питание;</w:t>
      </w:r>
    </w:p>
    <w:p>
      <w:pPr>
        <w:pStyle w:val="Normal"/>
        <w:ind w:firstLine="567"/>
        <w:jc w:val="both"/>
        <w:rPr/>
      </w:pPr>
      <w:r>
        <w:rPr>
          <w:rFonts w:cs="Times New Roman" w:ascii="Times New Roman" w:hAnsi="Times New Roman"/>
        </w:rPr>
        <w:t>4) развлечения;</w:t>
      </w:r>
    </w:p>
    <w:p>
      <w:pPr>
        <w:pStyle w:val="Normal"/>
        <w:ind w:firstLine="567"/>
        <w:jc w:val="both"/>
        <w:rPr/>
      </w:pPr>
      <w:r>
        <w:rPr>
          <w:rFonts w:cs="Times New Roman" w:ascii="Times New Roman" w:hAnsi="Times New Roman"/>
        </w:rPr>
        <w:t>5) спорт (включая размещение горнолыжных трасс, канатных дорог, станций подъемников);</w:t>
      </w:r>
    </w:p>
    <w:p>
      <w:pPr>
        <w:pStyle w:val="Normal"/>
        <w:ind w:firstLine="567"/>
        <w:jc w:val="both"/>
        <w:rPr/>
      </w:pPr>
      <w:r>
        <w:rPr>
          <w:rFonts w:cs="Times New Roman" w:ascii="Times New Roman" w:hAnsi="Times New Roman"/>
        </w:rPr>
        <w:t>6) бытовое обслуживание;</w:t>
      </w:r>
    </w:p>
    <w:p>
      <w:pPr>
        <w:pStyle w:val="Normal"/>
        <w:ind w:firstLine="567"/>
        <w:jc w:val="both"/>
        <w:rPr/>
      </w:pPr>
      <w:r>
        <w:rPr>
          <w:rFonts w:cs="Times New Roman" w:ascii="Times New Roman" w:hAnsi="Times New Roman"/>
        </w:rPr>
        <w:t>7) гостиничное обслуживание (размещение гостиниц);</w:t>
      </w:r>
    </w:p>
    <w:p>
      <w:pPr>
        <w:pStyle w:val="Normal"/>
        <w:ind w:firstLine="567"/>
        <w:jc w:val="both"/>
        <w:rPr/>
      </w:pPr>
      <w:r>
        <w:rPr>
          <w:rFonts w:cs="Times New Roman" w:ascii="Times New Roman" w:hAnsi="Times New Roman"/>
        </w:rPr>
        <w:t>8) водные объекты (размещение прудов, озёр и водохранилищ площадью менее 0,5 кв.км).</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здравоохранение;</w:t>
      </w:r>
    </w:p>
    <w:p>
      <w:pPr>
        <w:pStyle w:val="Normal"/>
        <w:ind w:firstLine="567"/>
        <w:jc w:val="both"/>
        <w:rPr/>
      </w:pPr>
      <w:r>
        <w:rPr>
          <w:rFonts w:cs="Times New Roman" w:ascii="Times New Roman" w:hAnsi="Times New Roman"/>
        </w:rPr>
        <w:t>2) обслуживание автотранспорта (размещение открытых площадок для временной парковки автомобильного транспорта);</w:t>
      </w:r>
    </w:p>
    <w:p>
      <w:pPr>
        <w:pStyle w:val="Normal"/>
        <w:ind w:firstLine="567"/>
        <w:jc w:val="both"/>
        <w:rPr/>
      </w:pPr>
      <w:r>
        <w:rPr>
          <w:rFonts w:cs="Times New Roman" w:ascii="Times New Roman" w:hAnsi="Times New Roman"/>
        </w:rPr>
        <w:t>3) автомобильный транспорт (размещение площадок зоны приезда, размещение разгрузочных площадок автомобильного транспорта для загрузки и вывоза мусора);</w:t>
      </w:r>
    </w:p>
    <w:p>
      <w:pPr>
        <w:pStyle w:val="Normal"/>
        <w:ind w:firstLine="567"/>
        <w:jc w:val="both"/>
        <w:rPr/>
      </w:pPr>
      <w:r>
        <w:rPr>
          <w:rFonts w:cs="Times New Roman" w:ascii="Times New Roman" w:hAnsi="Times New Roman"/>
        </w:rPr>
        <w:t>4) коммунальное обслуживание (размещение объектов инженерного обеспечения, инженерной инфраструктуры и линейных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5) водные объекты (размещение искусственных озер для рекреационных зон и для систем оснежения площадью 0,7-0,9 кв.км);</w:t>
      </w:r>
    </w:p>
    <w:p>
      <w:pPr>
        <w:pStyle w:val="Normal"/>
        <w:ind w:firstLine="567"/>
        <w:jc w:val="both"/>
        <w:rPr/>
      </w:pPr>
      <w:r>
        <w:rPr>
          <w:rFonts w:cs="Times New Roman" w:ascii="Times New Roman" w:hAnsi="Times New Roman"/>
        </w:rPr>
        <w:t>6) общее пользование водными объектами;</w:t>
      </w:r>
    </w:p>
    <w:p>
      <w:pPr>
        <w:pStyle w:val="Normal"/>
        <w:tabs>
          <w:tab w:val="left" w:pos="1470" w:leader="none"/>
        </w:tabs>
        <w:ind w:firstLine="567"/>
        <w:jc w:val="both"/>
        <w:rPr/>
      </w:pPr>
      <w:r>
        <w:rPr>
          <w:rFonts w:cs="Times New Roman" w:ascii="Times New Roman" w:hAnsi="Times New Roman"/>
        </w:rPr>
        <w:t>7) специальное пользование водными объектами;</w:t>
      </w:r>
    </w:p>
    <w:p>
      <w:pPr>
        <w:pStyle w:val="Normal"/>
        <w:tabs>
          <w:tab w:val="left" w:pos="1470" w:leader="none"/>
        </w:tabs>
        <w:ind w:firstLine="567"/>
        <w:jc w:val="both"/>
        <w:rPr/>
      </w:pPr>
      <w:r>
        <w:rPr>
          <w:rFonts w:cs="Times New Roman" w:ascii="Times New Roman" w:hAnsi="Times New Roman"/>
        </w:rPr>
        <w:t>8) гидротехнические сооружения.</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1) коммунальное обслуживание (размещение коммунальных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2) гостиничное обслуживание (размещение отдельно стоящих коттеджей и шале);</w:t>
      </w:r>
    </w:p>
    <w:p>
      <w:pPr>
        <w:pStyle w:val="Normal"/>
        <w:ind w:firstLine="567"/>
        <w:jc w:val="both"/>
        <w:rPr/>
      </w:pPr>
      <w:r>
        <w:rPr>
          <w:rFonts w:cs="Times New Roman" w:ascii="Times New Roman" w:hAnsi="Times New Roman"/>
        </w:rPr>
        <w:t>3) трубопроводный транспорт.</w:t>
      </w:r>
    </w:p>
    <w:p>
      <w:pPr>
        <w:pStyle w:val="Normal"/>
        <w:ind w:firstLine="567"/>
        <w:jc w:val="both"/>
        <w:rPr/>
      </w:pPr>
      <w:r>
        <w:rPr>
          <w:rFonts w:cs="Times New Roman" w:ascii="Times New Roman" w:hAnsi="Times New Roman"/>
        </w:rPr>
        <w:t>5. Предельные параметры разрешенного строительства, реконструкции объектов капитального строительства на территории новых и реконструируемых кварталов в многофункциональной зоне:</w:t>
      </w:r>
    </w:p>
    <w:p>
      <w:pPr>
        <w:pStyle w:val="Normal"/>
        <w:ind w:firstLine="567"/>
        <w:jc w:val="both"/>
        <w:rPr/>
      </w:pPr>
      <w:r>
        <w:rPr>
          <w:rFonts w:cs="Times New Roman" w:ascii="Times New Roman" w:hAnsi="Times New Roman"/>
        </w:rPr>
        <w:t>санитарно-защитная зона для объектов торговли, надземных плоскостных парковок определяется расчетом, но не менее 10 м для парковок;</w:t>
      </w:r>
    </w:p>
    <w:p>
      <w:pPr>
        <w:pStyle w:val="Normal"/>
        <w:ind w:firstLine="567"/>
        <w:jc w:val="both"/>
        <w:rPr/>
      </w:pPr>
      <w:r>
        <w:rPr>
          <w:rFonts w:cs="Times New Roman" w:ascii="Times New Roman" w:hAnsi="Times New Roman"/>
        </w:rPr>
        <w:t>этажность зданий, строений, сооружений - не более 6;</w:t>
      </w:r>
    </w:p>
    <w:p>
      <w:pPr>
        <w:pStyle w:val="Normal"/>
        <w:ind w:firstLine="567"/>
        <w:jc w:val="both"/>
        <w:rPr/>
      </w:pPr>
      <w:r>
        <w:rPr>
          <w:rFonts w:cs="Times New Roman" w:ascii="Times New Roman" w:hAnsi="Times New Roman"/>
        </w:rPr>
        <w:t>для зданий, строений, сооружений максимальная высота – 26 м, минимальная – 4 м;</w:t>
      </w:r>
    </w:p>
    <w:p>
      <w:pPr>
        <w:pStyle w:val="Normal"/>
        <w:ind w:firstLine="567"/>
        <w:jc w:val="both"/>
        <w:rPr/>
      </w:pPr>
      <w:r>
        <w:rPr>
          <w:rFonts w:cs="Times New Roman" w:ascii="Times New Roman" w:hAnsi="Times New Roman"/>
        </w:rPr>
        <w:t>минимальный отступ от красной линии до зданий, строений, сооружений при осуществлении строительства - 0 м, уточняется на стадии проектной документации;</w:t>
      </w:r>
    </w:p>
    <w:p>
      <w:pPr>
        <w:pStyle w:val="Normal"/>
        <w:ind w:firstLine="567"/>
        <w:jc w:val="both"/>
        <w:rPr/>
      </w:pPr>
      <w:r>
        <w:rPr>
          <w:rFonts w:cs="Times New Roman" w:ascii="Times New Roman" w:hAnsi="Times New Roman"/>
        </w:rPr>
        <w:t>минимальный отступ от границы земельного участка внутри многофункциональной зоны до зданий, строений, сооружений при осуществлении строительства – 3 м;</w:t>
      </w:r>
    </w:p>
    <w:p>
      <w:pPr>
        <w:pStyle w:val="Normal"/>
        <w:ind w:firstLine="567"/>
        <w:jc w:val="both"/>
        <w:rPr/>
      </w:pPr>
      <w:r>
        <w:rPr>
          <w:rFonts w:cs="Times New Roman" w:ascii="Times New Roman" w:hAnsi="Times New Roman"/>
        </w:rPr>
        <w:t>коэффициент застройки - до 1 и не менее 0,1;</w:t>
      </w:r>
    </w:p>
    <w:p>
      <w:pPr>
        <w:pStyle w:val="Normal"/>
        <w:ind w:firstLine="567"/>
        <w:jc w:val="both"/>
        <w:rPr/>
      </w:pPr>
      <w:r>
        <w:rPr>
          <w:rFonts w:cs="Times New Roman" w:ascii="Times New Roman" w:hAnsi="Times New Roman"/>
        </w:rPr>
        <w:t>коэффициент плотности застройки - не более 3;</w:t>
      </w:r>
    </w:p>
    <w:p>
      <w:pPr>
        <w:pStyle w:val="Normal"/>
        <w:ind w:firstLine="567"/>
        <w:jc w:val="both"/>
        <w:rPr/>
      </w:pPr>
      <w:r>
        <w:rPr>
          <w:rFonts w:cs="Times New Roman" w:ascii="Times New Roman" w:hAnsi="Times New Roman"/>
        </w:rPr>
        <w:t>минимальный противопожарный отступ – 6 м.</w:t>
      </w:r>
    </w:p>
    <w:p>
      <w:pPr>
        <w:pStyle w:val="Normal"/>
        <w:tabs>
          <w:tab w:val="left" w:pos="1185" w:leader="none"/>
        </w:tabs>
        <w:ind w:firstLine="567"/>
        <w:jc w:val="both"/>
        <w:rPr/>
      </w:pPr>
      <w:r>
        <w:rPr>
          <w:rFonts w:cs="Times New Roman" w:ascii="Times New Roman" w:hAnsi="Times New Roman"/>
        </w:rPr>
        <w:t>6. Степень огнестойкости зданий и противопожарные разрывы должны соответствовать действующему законодательству.</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40" w:name="_Toc424230655"/>
      <w:bookmarkEnd w:id="240"/>
      <w:r>
        <w:rPr>
          <w:rFonts w:cs="Times New Roman"/>
        </w:rPr>
        <w:t>Статья 21. Коммунально-складская зона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Коммунально-складская зона предназначена для размещения производственно-коммунальных объектов IV-V класса опасности, а также для установления санитарно-защитных зон таких объектов.</w:t>
      </w:r>
    </w:p>
    <w:p>
      <w:pPr>
        <w:pStyle w:val="Normal"/>
        <w:ind w:firstLine="567"/>
        <w:jc w:val="both"/>
        <w:rPr/>
      </w:pPr>
      <w:bookmarkStart w:id="241" w:name="Par958"/>
      <w:bookmarkEnd w:id="241"/>
      <w:r>
        <w:rPr>
          <w:rFonts w:cs="Times New Roman" w:ascii="Times New Roman" w:hAnsi="Times New Roman"/>
        </w:rPr>
        <w:t>В коммунально-складской зоне допускается размещение открытых площадок для временной парковки автомобильного транспорта, объектов инженерной инфраструктуры и линейных объектов.</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1) коммунальное обслуживание (размещение производственно-коммунальных объектов IV-V класса опасности);</w:t>
      </w:r>
    </w:p>
    <w:p>
      <w:pPr>
        <w:pStyle w:val="Normal"/>
        <w:ind w:firstLine="567"/>
        <w:jc w:val="both"/>
        <w:rPr/>
      </w:pPr>
      <w:r>
        <w:rPr>
          <w:rFonts w:cs="Times New Roman" w:ascii="Times New Roman" w:hAnsi="Times New Roman"/>
        </w:rPr>
        <w:t>2) склады (размещения складов по перегрузке пищевых продуктов, промышленных товаров, складов по перегрузке мусора и отходов).</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склады (размещение продовольственных и непродовольственных складских помещений);</w:t>
      </w:r>
    </w:p>
    <w:p>
      <w:pPr>
        <w:pStyle w:val="Normal"/>
        <w:ind w:firstLine="567"/>
        <w:jc w:val="both"/>
        <w:rPr/>
      </w:pPr>
      <w:r>
        <w:rPr>
          <w:rFonts w:cs="Times New Roman" w:ascii="Times New Roman" w:hAnsi="Times New Roman"/>
        </w:rPr>
        <w:t>2) коммунальное обслуживание (размещение мусоросортировочной станции, объектов инженерного обеспечения, инженерной инфраструктуры и линейных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3) бытовое обслуживание (размещение фабрики-прачечной, встроенно-пристроенных локальных объектов обслуживания населения).</w:t>
      </w:r>
    </w:p>
    <w:p>
      <w:pPr>
        <w:pStyle w:val="Normal"/>
        <w:ind w:firstLine="567"/>
        <w:jc w:val="both"/>
        <w:rPr/>
      </w:pPr>
      <w:r>
        <w:rPr>
          <w:rFonts w:cs="Times New Roman" w:ascii="Times New Roman" w:hAnsi="Times New Roman"/>
        </w:rPr>
        <w:t>4) обслуживание автотранспорта (размещение открытых площадок для временной парковки автомобильного транспорта);</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трубопроводный транспорт.</w:t>
      </w:r>
    </w:p>
    <w:p>
      <w:pPr>
        <w:pStyle w:val="Normal"/>
        <w:ind w:firstLine="567"/>
        <w:jc w:val="both"/>
        <w:rPr/>
      </w:pPr>
      <w:r>
        <w:rPr>
          <w:rFonts w:cs="Times New Roman" w:ascii="Times New Roman" w:hAnsi="Times New Roman"/>
        </w:rPr>
        <w:t>5. Предельные параметры разрешенного строительства, реконструкции объектов капитального строительства на территории новых и реконструируемых кварталов в коммунально-складской зоне:</w:t>
      </w:r>
    </w:p>
    <w:p>
      <w:pPr>
        <w:pStyle w:val="Normal"/>
        <w:ind w:firstLine="567"/>
        <w:jc w:val="both"/>
        <w:rPr/>
      </w:pPr>
      <w:r>
        <w:rPr>
          <w:rFonts w:cs="Times New Roman" w:ascii="Times New Roman" w:hAnsi="Times New Roman"/>
        </w:rPr>
        <w:t>санитарно-защитная зона для объектов коммунально-складской зоны определяется расчетом, но не менее 50 м для складов, 50 м до объектов капитального строительства по обслуживанию населения (химчистки, прачечные), 100 м для территории по сбору и компостированию отходов;</w:t>
      </w:r>
    </w:p>
    <w:p>
      <w:pPr>
        <w:pStyle w:val="Normal"/>
        <w:ind w:firstLine="567"/>
        <w:jc w:val="both"/>
        <w:rPr/>
      </w:pPr>
      <w:r>
        <w:rPr>
          <w:rFonts w:cs="Times New Roman" w:ascii="Times New Roman" w:hAnsi="Times New Roman"/>
        </w:rPr>
        <w:t>этажность зданий, строений, сооружений - не более 2;</w:t>
      </w:r>
    </w:p>
    <w:p>
      <w:pPr>
        <w:pStyle w:val="Normal"/>
        <w:ind w:firstLine="567"/>
        <w:jc w:val="both"/>
        <w:rPr/>
      </w:pPr>
      <w:r>
        <w:rPr>
          <w:rFonts w:cs="Times New Roman" w:ascii="Times New Roman" w:hAnsi="Times New Roman"/>
        </w:rPr>
        <w:t>для зданий, строений, сооружений максимальная высота – 13 м, минимальная – 5 м;</w:t>
      </w:r>
    </w:p>
    <w:p>
      <w:pPr>
        <w:pStyle w:val="Normal"/>
        <w:ind w:firstLine="567"/>
        <w:jc w:val="both"/>
        <w:rPr/>
      </w:pPr>
      <w:r>
        <w:rPr>
          <w:rFonts w:cs="Times New Roman" w:ascii="Times New Roman" w:hAnsi="Times New Roman"/>
        </w:rPr>
        <w:t>минимальный отступ от красной линии до зданий, строений, сооружений при осуществлении строительства - 0 м, уточняется на стадии проектной документации;</w:t>
      </w:r>
    </w:p>
    <w:p>
      <w:pPr>
        <w:pStyle w:val="Normal"/>
        <w:ind w:firstLine="567"/>
        <w:jc w:val="both"/>
        <w:rPr/>
      </w:pPr>
      <w:r>
        <w:rPr>
          <w:rFonts w:cs="Times New Roman" w:ascii="Times New Roman" w:hAnsi="Times New Roman"/>
        </w:rPr>
        <w:t>минимальный отступ от границы земельного участка внутри коммунально-складской зоны до зданий, строений, сооружений при осуществлении строительства определяется в соответствии с размером санитарно-защитной зоны;</w:t>
      </w:r>
    </w:p>
    <w:p>
      <w:pPr>
        <w:pStyle w:val="Normal"/>
        <w:ind w:firstLine="567"/>
        <w:jc w:val="both"/>
        <w:rPr/>
      </w:pPr>
      <w:r>
        <w:rPr>
          <w:rFonts w:cs="Times New Roman" w:ascii="Times New Roman" w:hAnsi="Times New Roman"/>
        </w:rPr>
        <w:t>коэффициент застройки - не более 0,6 и не менее 0,17;</w:t>
      </w:r>
    </w:p>
    <w:p>
      <w:pPr>
        <w:pStyle w:val="Normal"/>
        <w:ind w:firstLine="567"/>
        <w:jc w:val="both"/>
        <w:rPr/>
      </w:pPr>
      <w:r>
        <w:rPr>
          <w:rFonts w:cs="Times New Roman" w:ascii="Times New Roman" w:hAnsi="Times New Roman"/>
        </w:rPr>
        <w:t>коэффициент свободных территорий - не менее 0,4;</w:t>
      </w:r>
    </w:p>
    <w:p>
      <w:pPr>
        <w:pStyle w:val="Normal"/>
        <w:ind w:firstLine="567"/>
        <w:jc w:val="both"/>
        <w:rPr/>
      </w:pPr>
      <w:r>
        <w:rPr>
          <w:rFonts w:cs="Times New Roman" w:ascii="Times New Roman" w:hAnsi="Times New Roman"/>
        </w:rPr>
        <w:t>коэффициент плотности застройки - не более 1,8;</w:t>
      </w:r>
    </w:p>
    <w:p>
      <w:pPr>
        <w:pStyle w:val="Normal"/>
        <w:ind w:firstLine="567"/>
        <w:jc w:val="both"/>
        <w:rPr/>
      </w:pPr>
      <w:r>
        <w:rPr>
          <w:rFonts w:cs="Times New Roman" w:ascii="Times New Roman" w:hAnsi="Times New Roman"/>
        </w:rPr>
        <w:t>количество озелененных территорий внутри коммунально-складской зоны – не менее 25 %;</w:t>
      </w:r>
    </w:p>
    <w:p>
      <w:pPr>
        <w:pStyle w:val="Normal"/>
        <w:ind w:firstLine="567"/>
        <w:jc w:val="both"/>
        <w:rPr/>
      </w:pPr>
      <w:r>
        <w:rPr>
          <w:rFonts w:cs="Times New Roman" w:ascii="Times New Roman" w:hAnsi="Times New Roman"/>
        </w:rPr>
        <w:t>площадь, занимаемая объектами, размещение которых настоящей статьей определено в качестве вспомогательных видов разрешенного использования и условно разрешенных видов использования, не должна превышать 25 % площади квартала, микрорайона, иного элемента планировочной структуры коммунально-складской зоны.</w:t>
      </w:r>
    </w:p>
    <w:p>
      <w:pPr>
        <w:pStyle w:val="Normal"/>
        <w:tabs>
          <w:tab w:val="left" w:pos="1185" w:leader="none"/>
        </w:tabs>
        <w:ind w:firstLine="567"/>
        <w:jc w:val="both"/>
        <w:rPr/>
      </w:pPr>
      <w:r>
        <w:rPr>
          <w:rFonts w:cs="Times New Roman" w:ascii="Times New Roman" w:hAnsi="Times New Roman"/>
        </w:rPr>
        <w:t>6. Степень огнестойкости зданий и противопожарные разрывы должны соответствовать действующему законодательству.</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42" w:name="_Toc424230656"/>
      <w:r>
        <w:rPr>
          <w:rFonts w:cs="Times New Roman"/>
        </w:rPr>
        <w:t>Статья 22. Зона</w:t>
      </w:r>
      <w:bookmarkEnd w:id="242"/>
      <w:r>
        <w:rPr>
          <w:rFonts w:eastAsia="Times New Roman" w:cs="Times New Roman"/>
        </w:rPr>
        <w:t xml:space="preserve"> объектов инженерной инфраструктуры</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Зона объектов инженерной инфраструктуры включает в себя участки территории ВТРК «Архыз», предназначенные для размещения площадных и линейных объектов инженерно-технического обеспечения, включая линии электропередачи, линии связи (в том числе линейно-кабельные сооружения), трубопроводы, иных объектов инженерной инфраструктуры, установления санитарно-защитных зон и санитарных разрывов таких объектов, установления охранных зон объектов инженерной инфраструктуры, а также размещения иных объектов, в случаях, предусмотренных настоящей статьей.</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коммунальное обслуживание (размещение площадных и линейных объектов инженерно-технического обеспечения, в том числе водоснабжения, водоотведения, теплоснабжения, газоснабжения, электроснабжения и средств связи).</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обслуживание автотранспорта (размещение открытых площадок для временной парковки автомобильного транспорта);</w:t>
      </w:r>
    </w:p>
    <w:p>
      <w:pPr>
        <w:pStyle w:val="Normal"/>
        <w:ind w:firstLine="567"/>
        <w:jc w:val="both"/>
        <w:rPr/>
      </w:pPr>
      <w:r>
        <w:rPr>
          <w:rFonts w:cs="Times New Roman" w:ascii="Times New Roman" w:hAnsi="Times New Roman"/>
        </w:rPr>
        <w:t>2) автомобильный транспорт (размещение площадок для разгрузки оборудования для объектов инженерно-технического обеспечения, горюче-смазочных материалов);</w:t>
      </w:r>
    </w:p>
    <w:p>
      <w:pPr>
        <w:pStyle w:val="Normal"/>
        <w:ind w:firstLine="567"/>
        <w:jc w:val="both"/>
        <w:rPr/>
      </w:pPr>
      <w:r>
        <w:rPr>
          <w:rFonts w:cs="Times New Roman" w:ascii="Times New Roman" w:hAnsi="Times New Roman"/>
        </w:rPr>
        <w:t>3) склады (размещение складов горюче-смазочных материалов, топливных резервуаров, в том числе встроенно-пристроенных).</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трубопроводный транспорт.</w:t>
      </w:r>
    </w:p>
    <w:p>
      <w:pPr>
        <w:pStyle w:val="Normal"/>
        <w:ind w:firstLine="567"/>
        <w:jc w:val="both"/>
        <w:rPr/>
      </w:pPr>
      <w:r>
        <w:rPr>
          <w:rFonts w:cs="Times New Roman" w:ascii="Times New Roman" w:hAnsi="Times New Roman"/>
        </w:rPr>
        <w:t>5. Предельные параметры разрешенного строительства, реконструкции объектов капитального строительства на территории новых и реконструируемых кварталов в зоне объектов инженерной инфраструктуры:</w:t>
      </w:r>
    </w:p>
    <w:p>
      <w:pPr>
        <w:pStyle w:val="Normal"/>
        <w:ind w:firstLine="567"/>
        <w:jc w:val="both"/>
        <w:rPr/>
      </w:pPr>
      <w:r>
        <w:rPr>
          <w:rFonts w:cs="Times New Roman" w:ascii="Times New Roman" w:hAnsi="Times New Roman"/>
        </w:rPr>
        <w:t>санитарно-защитная зона для объектов инженерной инфраструктуры определяется расчетом, но не менее 100 м для очистных сооружений хозяйственной канализации, 50 м для очистных сооружений поверхностного стока, при этом размер земельного участка для объекта инженерной инфраструктуры может не совпадать с санитарно-защитной зоной;</w:t>
      </w:r>
    </w:p>
    <w:p>
      <w:pPr>
        <w:pStyle w:val="Normal"/>
        <w:ind w:firstLine="567"/>
        <w:jc w:val="both"/>
        <w:rPr/>
      </w:pPr>
      <w:r>
        <w:rPr>
          <w:rFonts w:cs="Times New Roman" w:ascii="Times New Roman" w:hAnsi="Times New Roman"/>
        </w:rPr>
        <w:t>этажность зданий, строений, сооружений - не более 2;</w:t>
      </w:r>
    </w:p>
    <w:p>
      <w:pPr>
        <w:pStyle w:val="Normal"/>
        <w:ind w:firstLine="567"/>
        <w:jc w:val="both"/>
        <w:rPr/>
      </w:pPr>
      <w:r>
        <w:rPr>
          <w:rFonts w:cs="Times New Roman" w:ascii="Times New Roman" w:hAnsi="Times New Roman"/>
        </w:rPr>
        <w:t>минимальный отступ от красной линии до зданий, строений, сооружений при осуществлении строительства - 3 м, уточняется на стадии проектной документации;</w:t>
      </w:r>
    </w:p>
    <w:p>
      <w:pPr>
        <w:pStyle w:val="Normal"/>
        <w:ind w:firstLine="567"/>
        <w:jc w:val="both"/>
        <w:rPr/>
      </w:pPr>
      <w:r>
        <w:rPr>
          <w:rFonts w:cs="Times New Roman" w:ascii="Times New Roman" w:hAnsi="Times New Roman"/>
        </w:rPr>
        <w:t>минимальный отступ от границы земельного участка внутри зоны объектов инженерной инфраструктуры до зданий, строений, сооружений при осуществлении строительства определяется в соответствии с размером санитарно-защитной зоны;</w:t>
      </w:r>
    </w:p>
    <w:p>
      <w:pPr>
        <w:pStyle w:val="Normal"/>
        <w:ind w:firstLine="567"/>
        <w:jc w:val="both"/>
        <w:rPr/>
      </w:pPr>
      <w:r>
        <w:rPr>
          <w:rFonts w:cs="Times New Roman" w:ascii="Times New Roman" w:hAnsi="Times New Roman"/>
        </w:rPr>
        <w:t>количество озелененных территорий внутри зоны объектов инженерной инфраструктуры – не менее 20 %.</w:t>
      </w:r>
    </w:p>
    <w:p>
      <w:pPr>
        <w:pStyle w:val="Normal"/>
        <w:tabs>
          <w:tab w:val="left" w:pos="1185" w:leader="none"/>
        </w:tabs>
        <w:ind w:firstLine="567"/>
        <w:jc w:val="both"/>
        <w:rPr/>
      </w:pPr>
      <w:r>
        <w:rPr>
          <w:rFonts w:cs="Times New Roman" w:ascii="Times New Roman" w:hAnsi="Times New Roman"/>
        </w:rPr>
        <w:t>6. Степень огнестойкости зданий и противопожарные разрывы должны соответствовать действующему законодательству.</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43" w:name="_Toc424230657"/>
      <w:r>
        <w:rPr>
          <w:rFonts w:cs="Times New Roman"/>
        </w:rPr>
        <w:t>Статья 23. Зона объектов</w:t>
      </w:r>
      <w:bookmarkEnd w:id="243"/>
      <w:r>
        <w:rPr>
          <w:rFonts w:eastAsia="Times New Roman" w:cs="Times New Roman"/>
        </w:rPr>
        <w:t xml:space="preserve"> транспортной инфраструктуры</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 xml:space="preserve">1. Зона </w:t>
      </w:r>
      <w:r>
        <w:rPr>
          <w:rFonts w:eastAsia="Times New Roman" w:cs="Times New Roman" w:ascii="Times New Roman" w:hAnsi="Times New Roman"/>
        </w:rPr>
        <w:t>объектов</w:t>
      </w:r>
      <w:r>
        <w:rPr>
          <w:rFonts w:cs="Times New Roman" w:ascii="Times New Roman" w:hAnsi="Times New Roman"/>
        </w:rPr>
        <w:t xml:space="preserve"> транспортной инфраструктуры включает в себя участки территории ВТРК «Архыз», предназначенные для размещения объектов автомобильного транспорта и установления санитарно-защитных зон, а также размещения объектов дорожного сервиса и дорожного хозяйства, при условии соответствия требованиям законодательства о безопасности движения.</w:t>
      </w:r>
    </w:p>
    <w:p>
      <w:pPr>
        <w:pStyle w:val="Normal"/>
        <w:ind w:firstLine="567"/>
        <w:jc w:val="both"/>
        <w:rPr/>
      </w:pPr>
      <w:r>
        <w:rPr>
          <w:rFonts w:cs="Times New Roman" w:ascii="Times New Roman" w:hAnsi="Times New Roman"/>
        </w:rPr>
        <w:t xml:space="preserve">В зоне </w:t>
      </w:r>
      <w:r>
        <w:rPr>
          <w:rFonts w:eastAsia="Times New Roman" w:cs="Times New Roman" w:ascii="Times New Roman" w:hAnsi="Times New Roman"/>
        </w:rPr>
        <w:t>объектов</w:t>
      </w:r>
      <w:r>
        <w:rPr>
          <w:rFonts w:cs="Times New Roman" w:ascii="Times New Roman" w:hAnsi="Times New Roman"/>
        </w:rPr>
        <w:t xml:space="preserve"> транспортной инфраструктуры допускается размещение линейных и иных объектов в случаях, предусмотренных настоящей статьей, при условии соответствия требованиям законодательства о безопасности движения.</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1) обслуживание автотранспорта;</w:t>
      </w:r>
    </w:p>
    <w:p>
      <w:pPr>
        <w:pStyle w:val="Normal"/>
        <w:ind w:firstLine="567"/>
        <w:jc w:val="both"/>
        <w:rPr/>
      </w:pPr>
      <w:r>
        <w:rPr>
          <w:rFonts w:cs="Times New Roman" w:ascii="Times New Roman" w:hAnsi="Times New Roman"/>
        </w:rPr>
        <w:t>2) автомобильный транспорт.</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склады (размещение складов горюче-смазочных материалов, топливных резервуаров, в том числе встроенно-пристроенных, складов химических реагентов и материалов для ремонта и обслуживания улично-дорожной сети, в том числе встроенно-пристроенных;</w:t>
      </w:r>
    </w:p>
    <w:p>
      <w:pPr>
        <w:pStyle w:val="Normal"/>
        <w:ind w:firstLine="567"/>
        <w:jc w:val="both"/>
        <w:rPr/>
      </w:pPr>
      <w:r>
        <w:rPr>
          <w:rFonts w:cs="Times New Roman" w:ascii="Times New Roman" w:hAnsi="Times New Roman"/>
        </w:rPr>
        <w:t>2) коммунальное обслуживание (размещение объектов инженерного обеспечения, инженерной инфраструктуры и линейных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1) коммунальное обслуживание (размещение коммунальных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2) трубопроводный транспорт.</w:t>
      </w:r>
    </w:p>
    <w:p>
      <w:pPr>
        <w:pStyle w:val="Normal"/>
        <w:ind w:firstLine="567"/>
        <w:jc w:val="both"/>
        <w:rPr/>
      </w:pPr>
      <w:r>
        <w:rPr>
          <w:rFonts w:cs="Times New Roman" w:ascii="Times New Roman" w:hAnsi="Times New Roman"/>
        </w:rPr>
        <w:t>5. Предельные параметры разрешенного строительства, реконструкции объектов капитального строительства на территории новых и реконструируемых кварталов в зоне объектов транспортной инфраструктуры:</w:t>
      </w:r>
    </w:p>
    <w:p>
      <w:pPr>
        <w:pStyle w:val="Normal"/>
        <w:ind w:firstLine="567"/>
        <w:jc w:val="both"/>
        <w:rPr/>
      </w:pPr>
      <w:r>
        <w:rPr>
          <w:rFonts w:cs="Times New Roman" w:ascii="Times New Roman" w:hAnsi="Times New Roman"/>
        </w:rPr>
        <w:t>санитарно-защитная зона для объектов транспортной инфраструктуры определяется расчетом, но не менее 10 м для парковок автомобильного транспорта, 50 м до автозаправочных станций, мойки автомобилей до двух постов, отстойно-разворотных площадок общественного транспорта, 100 м до гаражей для техники по уборке территории, автобусных парков до 100 машин;</w:t>
      </w:r>
    </w:p>
    <w:p>
      <w:pPr>
        <w:pStyle w:val="Normal"/>
        <w:ind w:firstLine="567"/>
        <w:jc w:val="both"/>
        <w:rPr/>
      </w:pPr>
      <w:r>
        <w:rPr>
          <w:rFonts w:cs="Times New Roman" w:ascii="Times New Roman" w:hAnsi="Times New Roman"/>
        </w:rPr>
        <w:t>этажность зданий, строений, сооружений - не более 2;</w:t>
      </w:r>
    </w:p>
    <w:p>
      <w:pPr>
        <w:pStyle w:val="Normal"/>
        <w:ind w:firstLine="567"/>
        <w:jc w:val="both"/>
        <w:rPr/>
      </w:pPr>
      <w:r>
        <w:rPr>
          <w:rFonts w:cs="Times New Roman" w:ascii="Times New Roman" w:hAnsi="Times New Roman"/>
        </w:rPr>
        <w:t>для зданий, строений, сооружений максимальная высота – 15 м, минимальная – 6 м;</w:t>
      </w:r>
    </w:p>
    <w:p>
      <w:pPr>
        <w:pStyle w:val="Normal"/>
        <w:ind w:firstLine="567"/>
        <w:jc w:val="both"/>
        <w:rPr/>
      </w:pPr>
      <w:r>
        <w:rPr>
          <w:rFonts w:cs="Times New Roman" w:ascii="Times New Roman" w:hAnsi="Times New Roman"/>
        </w:rPr>
        <w:t>минимальный отступ от границы земельного участка внутри зоны объектов транспортной инфраструктуры до зданий, строений, сооружений при осуществлении строительства – от 3 до 25 м в зависимости от типа объекта;</w:t>
      </w:r>
    </w:p>
    <w:p>
      <w:pPr>
        <w:pStyle w:val="Normal"/>
        <w:ind w:firstLine="567"/>
        <w:jc w:val="both"/>
        <w:rPr/>
      </w:pPr>
      <w:r>
        <w:rPr>
          <w:rFonts w:cs="Times New Roman" w:ascii="Times New Roman" w:hAnsi="Times New Roman"/>
        </w:rPr>
        <w:t>количество озелененных территорий внутри зоны объектов транспортной инфраструктуры – не менее 20 %.</w:t>
      </w:r>
    </w:p>
    <w:p>
      <w:pPr>
        <w:pStyle w:val="Normal"/>
        <w:tabs>
          <w:tab w:val="left" w:pos="1185" w:leader="none"/>
        </w:tabs>
        <w:ind w:firstLine="567"/>
        <w:jc w:val="both"/>
        <w:rPr/>
      </w:pPr>
      <w:r>
        <w:rPr>
          <w:rFonts w:cs="Times New Roman" w:ascii="Times New Roman" w:hAnsi="Times New Roman"/>
        </w:rPr>
        <w:t>6. Степень огнестойкости зданий и противопожарные разрывы должны соответствовать действующему законодательству.</w:t>
      </w:r>
    </w:p>
    <w:p>
      <w:pPr>
        <w:pStyle w:val="Normal"/>
        <w:tabs>
          <w:tab w:val="left" w:pos="1185" w:leader="none"/>
        </w:tabs>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44" w:name="_Toc424230658"/>
      <w:r>
        <w:rPr>
          <w:rFonts w:cs="Times New Roman"/>
        </w:rPr>
        <w:t>Статья 24. З</w:t>
      </w:r>
      <w:bookmarkEnd w:id="244"/>
      <w:r>
        <w:rPr>
          <w:rFonts w:eastAsia="Times New Roman" w:cs="Times New Roman"/>
        </w:rPr>
        <w:t>оны рекреационного назначения</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 xml:space="preserve">1. В состав зон </w:t>
      </w:r>
      <w:r>
        <w:rPr>
          <w:rFonts w:eastAsia="Times New Roman" w:cs="Times New Roman" w:ascii="Times New Roman" w:hAnsi="Times New Roman"/>
        </w:rPr>
        <w:t>рекреационного назначения</w:t>
      </w:r>
      <w:r>
        <w:rPr>
          <w:rFonts w:cs="Times New Roman" w:ascii="Times New Roman" w:hAnsi="Times New Roman"/>
        </w:rPr>
        <w:t xml:space="preserve"> могут включаться территории, используемые и предназначенные для отдыха, туризма, занятий физической культурой и спортом.</w:t>
      </w:r>
    </w:p>
    <w:p>
      <w:pPr>
        <w:pStyle w:val="Normal"/>
        <w:ind w:firstLine="567"/>
        <w:jc w:val="both"/>
        <w:rPr/>
      </w:pPr>
      <w:r>
        <w:rPr>
          <w:rFonts w:cs="Times New Roman" w:ascii="Times New Roman" w:hAnsi="Times New Roman"/>
        </w:rPr>
        <w:t>2. В зонах</w:t>
      </w:r>
      <w:r>
        <w:rPr>
          <w:rFonts w:eastAsia="Times New Roman" w:cs="Times New Roman" w:ascii="Times New Roman" w:hAnsi="Times New Roman"/>
        </w:rPr>
        <w:t xml:space="preserve"> рекреационного назначения</w:t>
      </w:r>
      <w:r>
        <w:rPr>
          <w:rFonts w:cs="Times New Roman" w:ascii="Times New Roman" w:hAnsi="Times New Roman"/>
        </w:rPr>
        <w:t xml:space="preserve"> не допускается размещение промышленных и складских объектов.</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45" w:name="_Toc424230659"/>
      <w:r>
        <w:rPr>
          <w:rFonts w:cs="Times New Roman"/>
        </w:rPr>
        <w:t>Статья 25. Зона озеленённых территорий общего</w:t>
      </w:r>
      <w:bookmarkEnd w:id="245"/>
      <w:r>
        <w:rPr>
          <w:rFonts w:eastAsia="Times New Roman" w:cs="Times New Roman"/>
        </w:rPr>
        <w:t xml:space="preserve"> пользования</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Зона озеленённых территорий общего</w:t>
      </w:r>
      <w:r>
        <w:rPr>
          <w:rFonts w:eastAsia="Times New Roman" w:cs="Times New Roman" w:ascii="Times New Roman" w:hAnsi="Times New Roman"/>
        </w:rPr>
        <w:t xml:space="preserve"> пользования</w:t>
      </w:r>
      <w:r>
        <w:rPr>
          <w:rFonts w:cs="Times New Roman" w:ascii="Times New Roman" w:hAnsi="Times New Roman"/>
        </w:rPr>
        <w:t xml:space="preserve"> включает в себя участки территории ВТРК «Архыз», предназначенные для размещения парков, скверов, бульваров, аллей, площадных объектов развлечения, спорта.</w:t>
      </w:r>
    </w:p>
    <w:p>
      <w:pPr>
        <w:pStyle w:val="Normal"/>
        <w:ind w:firstLine="567"/>
        <w:jc w:val="both"/>
        <w:rPr/>
      </w:pPr>
      <w:r>
        <w:rPr>
          <w:rFonts w:cs="Times New Roman" w:ascii="Times New Roman" w:hAnsi="Times New Roman"/>
        </w:rPr>
        <w:t>В зоне озеленённых территорий общего</w:t>
      </w:r>
      <w:r>
        <w:rPr>
          <w:rFonts w:eastAsia="Times New Roman" w:cs="Times New Roman" w:ascii="Times New Roman" w:hAnsi="Times New Roman"/>
        </w:rPr>
        <w:t xml:space="preserve"> пользования</w:t>
      </w:r>
      <w:r>
        <w:rPr>
          <w:rFonts w:cs="Times New Roman" w:ascii="Times New Roman" w:hAnsi="Times New Roman"/>
        </w:rPr>
        <w:t xml:space="preserve"> допускается размещение дорожно-тропиночной сети, лыжных трасс, велосипедных и беговых дорожек.</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1) общее пользование территории (размещение дорожно-тропиночной сети, парков, скверов, бульваров, аллей);</w:t>
      </w:r>
    </w:p>
    <w:p>
      <w:pPr>
        <w:pStyle w:val="Normal"/>
        <w:ind w:firstLine="567"/>
        <w:jc w:val="both"/>
        <w:rPr/>
      </w:pPr>
      <w:r>
        <w:rPr>
          <w:rFonts w:cs="Times New Roman" w:ascii="Times New Roman" w:hAnsi="Times New Roman"/>
        </w:rPr>
        <w:t>2) спорт (размещение площадных объектов развлечения, спорта).</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общее пользование территории (размещение павильонов для отдыха, навесов);</w:t>
      </w:r>
    </w:p>
    <w:p>
      <w:pPr>
        <w:pStyle w:val="Normal"/>
        <w:ind w:firstLine="567"/>
        <w:jc w:val="both"/>
        <w:rPr/>
      </w:pPr>
      <w:r>
        <w:rPr>
          <w:rFonts w:cs="Times New Roman" w:ascii="Times New Roman" w:hAnsi="Times New Roman"/>
        </w:rPr>
        <w:t>2) спорт (размещение лыжных трасс, велосипедных и беговых дорожек, пунктов проката спортинвентаря, спортивных и детских площадок);</w:t>
      </w:r>
    </w:p>
    <w:p>
      <w:pPr>
        <w:pStyle w:val="Normal"/>
        <w:ind w:firstLine="567"/>
        <w:jc w:val="both"/>
        <w:rPr/>
      </w:pPr>
      <w:r>
        <w:rPr>
          <w:rFonts w:cs="Times New Roman" w:ascii="Times New Roman" w:hAnsi="Times New Roman"/>
        </w:rPr>
        <w:t>3) культурное развитие (размещение открытых сценических площадок с местами для зрителей).</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1) природно-познавательный туризм;</w:t>
      </w:r>
    </w:p>
    <w:p>
      <w:pPr>
        <w:pStyle w:val="Normal"/>
        <w:ind w:firstLine="567"/>
        <w:jc w:val="both"/>
        <w:rPr/>
      </w:pPr>
      <w:r>
        <w:rPr>
          <w:rFonts w:cs="Times New Roman" w:ascii="Times New Roman" w:hAnsi="Times New Roman"/>
        </w:rPr>
        <w:t>2) охота и рыбалка;</w:t>
      </w:r>
    </w:p>
    <w:p>
      <w:pPr>
        <w:pStyle w:val="Normal"/>
        <w:ind w:firstLine="567"/>
        <w:jc w:val="both"/>
        <w:rPr/>
      </w:pPr>
      <w:r>
        <w:rPr>
          <w:rFonts w:cs="Times New Roman" w:ascii="Times New Roman" w:hAnsi="Times New Roman"/>
        </w:rPr>
        <w:t>3) поля для гольфа или конных прогулок;</w:t>
      </w:r>
    </w:p>
    <w:p>
      <w:pPr>
        <w:pStyle w:val="Normal"/>
        <w:ind w:firstLine="567"/>
        <w:jc w:val="both"/>
        <w:rPr/>
      </w:pPr>
      <w:r>
        <w:rPr>
          <w:rFonts w:cs="Times New Roman" w:ascii="Times New Roman" w:hAnsi="Times New Roman"/>
        </w:rPr>
        <w:t>4) трубопроводный транспорт;</w:t>
      </w:r>
    </w:p>
    <w:p>
      <w:pPr>
        <w:pStyle w:val="Normal"/>
        <w:ind w:firstLine="567"/>
        <w:jc w:val="both"/>
        <w:rPr/>
      </w:pPr>
      <w:r>
        <w:rPr>
          <w:rFonts w:cs="Times New Roman" w:ascii="Times New Roman" w:hAnsi="Times New Roman"/>
        </w:rPr>
        <w:t>5) гостиничное обслуживание (размещение отдельно стоящих коттеджей и апартаментов);</w:t>
      </w:r>
    </w:p>
    <w:p>
      <w:pPr>
        <w:pStyle w:val="Normal"/>
        <w:ind w:firstLine="567"/>
        <w:jc w:val="both"/>
        <w:rPr/>
      </w:pPr>
      <w:r>
        <w:rPr>
          <w:rFonts w:cs="Times New Roman" w:ascii="Times New Roman" w:hAnsi="Times New Roman"/>
        </w:rPr>
        <w:t>5. Предельные параметры разрешенного строительства, реконструкции объектов капитального строительства на территории новых и реконструируемых кварталов в зоне озеленённых территорий общего</w:t>
      </w:r>
      <w:r>
        <w:rPr>
          <w:rFonts w:eastAsia="Times New Roman" w:cs="Times New Roman" w:ascii="Times New Roman" w:hAnsi="Times New Roman"/>
        </w:rPr>
        <w:t xml:space="preserve"> пользования</w:t>
      </w:r>
      <w:r>
        <w:rPr>
          <w:rFonts w:cs="Times New Roman" w:ascii="Times New Roman" w:hAnsi="Times New Roman"/>
        </w:rPr>
        <w:t>:</w:t>
      </w:r>
    </w:p>
    <w:p>
      <w:pPr>
        <w:pStyle w:val="Normal"/>
        <w:ind w:firstLine="567"/>
        <w:jc w:val="both"/>
        <w:rPr/>
      </w:pPr>
      <w:r>
        <w:rPr>
          <w:rFonts w:cs="Times New Roman" w:ascii="Times New Roman" w:hAnsi="Times New Roman"/>
        </w:rPr>
        <w:t>размещение объектов в зоне озеленённых территорий общего пользования должно производиться с учетом обеспечения безопасности туристов в горной местности (ограждения опасных участков, защитные экраны, предупреждающие знаки);</w:t>
      </w:r>
    </w:p>
    <w:p>
      <w:pPr>
        <w:pStyle w:val="Normal"/>
        <w:ind w:firstLine="567"/>
        <w:jc w:val="both"/>
        <w:rPr/>
      </w:pPr>
      <w:r>
        <w:rPr>
          <w:rFonts w:cs="Times New Roman" w:ascii="Times New Roman" w:hAnsi="Times New Roman"/>
        </w:rPr>
        <w:t>не менее 70 % от общей площади озеленённой территории должно быть под деревьями, кустами, газонами;</w:t>
      </w:r>
    </w:p>
    <w:p>
      <w:pPr>
        <w:pStyle w:val="Normal"/>
        <w:ind w:firstLine="567"/>
        <w:jc w:val="both"/>
        <w:rPr/>
      </w:pPr>
      <w:r>
        <w:rPr>
          <w:rFonts w:cs="Times New Roman" w:ascii="Times New Roman" w:hAnsi="Times New Roman"/>
        </w:rPr>
        <w:t>площадь, занимаемая объектами, размещение которых настоящей статьей определено в качестве вспомогательных видов разрешенного использования, не должна превышать 10 % площади квартала, микрорайона, иного элемента планировочной структуры зоны озеленённых территорий общего</w:t>
      </w:r>
      <w:r>
        <w:rPr>
          <w:rFonts w:eastAsia="Times New Roman" w:cs="Times New Roman" w:ascii="Times New Roman" w:hAnsi="Times New Roman"/>
        </w:rPr>
        <w:t xml:space="preserve"> пользования</w:t>
      </w:r>
      <w:r>
        <w:rPr>
          <w:rFonts w:cs="Times New Roman" w:ascii="Times New Roman" w:hAnsi="Times New Roman"/>
        </w:rPr>
        <w:t>.</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46" w:name="_Toc424230660"/>
      <w:bookmarkEnd w:id="246"/>
      <w:r>
        <w:rPr>
          <w:rFonts w:cs="Times New Roman"/>
        </w:rPr>
        <w:t>Статья 26. Зона естественных природных ландшафтов</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Зона естественных природных ландшафтов включает в себя территории открытых природных пространств ВТРК «Архыз».</w:t>
      </w:r>
    </w:p>
    <w:p>
      <w:pPr>
        <w:pStyle w:val="Normal"/>
        <w:ind w:firstLine="567"/>
        <w:jc w:val="both"/>
        <w:rPr/>
      </w:pPr>
      <w:r>
        <w:rPr>
          <w:rFonts w:cs="Times New Roman" w:ascii="Times New Roman" w:hAnsi="Times New Roman"/>
        </w:rPr>
        <w:t>В зоне естественных природных ландшафтов допускается размещение дорожно-тропиночной сети, прогулочных лыжных трасс, велосипедных, беговых дорожек объектов и благоустройства.</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1) общее пользование территории (территории открытых природных пространств);</w:t>
      </w:r>
    </w:p>
    <w:p>
      <w:pPr>
        <w:pStyle w:val="Normal"/>
        <w:ind w:firstLine="567"/>
        <w:jc w:val="both"/>
        <w:rPr/>
      </w:pPr>
      <w:r>
        <w:rPr>
          <w:rFonts w:cs="Times New Roman" w:ascii="Times New Roman" w:hAnsi="Times New Roman"/>
        </w:rPr>
        <w:t>2) водные объекты;</w:t>
      </w:r>
    </w:p>
    <w:p>
      <w:pPr>
        <w:pStyle w:val="Normal"/>
        <w:ind w:firstLine="567"/>
        <w:jc w:val="both"/>
        <w:rPr/>
      </w:pPr>
      <w:r>
        <w:rPr>
          <w:rFonts w:cs="Times New Roman" w:ascii="Times New Roman" w:hAnsi="Times New Roman"/>
        </w:rPr>
        <w:t>3) обеспечение внутреннего правопорядка;</w:t>
      </w:r>
    </w:p>
    <w:p>
      <w:pPr>
        <w:pStyle w:val="Normal"/>
        <w:ind w:firstLine="567"/>
        <w:jc w:val="both"/>
        <w:rPr/>
      </w:pPr>
      <w:r>
        <w:rPr>
          <w:rFonts w:cs="Times New Roman" w:ascii="Times New Roman" w:hAnsi="Times New Roman"/>
        </w:rPr>
        <w:t>4) природно-познавательный туризм (осуществление необходимых природоохранных и природовосстановительных мероприятий).</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общее пользование территории (размещение площадок для отдыха, видовых площадок, дорожно-тропиночной сети);</w:t>
      </w:r>
    </w:p>
    <w:p>
      <w:pPr>
        <w:pStyle w:val="Normal"/>
        <w:ind w:firstLine="567"/>
        <w:jc w:val="both"/>
        <w:rPr/>
      </w:pPr>
      <w:r>
        <w:rPr>
          <w:rFonts w:cs="Times New Roman" w:ascii="Times New Roman" w:hAnsi="Times New Roman"/>
        </w:rPr>
        <w:t>2) спорт (размещение прогулочных лыжных трасс, велосипедных и беговых дорожек);</w:t>
      </w:r>
    </w:p>
    <w:p>
      <w:pPr>
        <w:pStyle w:val="Normal"/>
        <w:ind w:firstLine="567"/>
        <w:jc w:val="both"/>
        <w:rPr/>
      </w:pPr>
      <w:r>
        <w:rPr>
          <w:rFonts w:cs="Times New Roman" w:ascii="Times New Roman" w:hAnsi="Times New Roman"/>
        </w:rPr>
        <w:t>3) автомобильный транспорт.</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1) резервные леса;</w:t>
      </w:r>
    </w:p>
    <w:p>
      <w:pPr>
        <w:pStyle w:val="Normal"/>
        <w:ind w:firstLine="567"/>
        <w:jc w:val="both"/>
        <w:rPr/>
      </w:pPr>
      <w:r>
        <w:rPr>
          <w:rFonts w:cs="Times New Roman" w:ascii="Times New Roman" w:hAnsi="Times New Roman"/>
        </w:rPr>
        <w:t>2) трубопроводный транспорт;</w:t>
      </w:r>
    </w:p>
    <w:p>
      <w:pPr>
        <w:pStyle w:val="Normal"/>
        <w:ind w:firstLine="567"/>
        <w:jc w:val="both"/>
        <w:rPr/>
      </w:pPr>
      <w:r>
        <w:rPr>
          <w:rFonts w:cs="Times New Roman" w:ascii="Times New Roman" w:hAnsi="Times New Roman"/>
        </w:rPr>
        <w:t>3) гостиничное обслуживание (размещение отдельно стоящих коттеджей и апартаментов).</w:t>
      </w:r>
    </w:p>
    <w:p>
      <w:pPr>
        <w:pStyle w:val="Normal"/>
        <w:ind w:firstLine="567"/>
        <w:jc w:val="both"/>
        <w:rPr/>
      </w:pPr>
      <w:r>
        <w:rPr>
          <w:rFonts w:cs="Times New Roman" w:ascii="Times New Roman" w:hAnsi="Times New Roman"/>
        </w:rPr>
        <w:t>Размещение объектов в зоне естественных природных ландшафтов должно производиться с учетом обеспечения безопасности туристов в горной местности (ограждения опасных участков, защитные экраны, предупреждающие знаки).</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47" w:name="_Toc424230661"/>
      <w:bookmarkEnd w:id="247"/>
      <w:r>
        <w:rPr>
          <w:rFonts w:cs="Times New Roman"/>
        </w:rPr>
        <w:t>Статья 27. Зона водных объектов</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Зона водных объектов включает в себя участки территории ВТРК «Архыз», на которых расположены природные или искусственные водоемы площадью менее 0,5 кв.км, постоянное или временное сосредоточение вод в которых имеет характерные формы или признаки водного режима (изменение во времени уровней, расхода и объема воды в водном объекте).</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водные объекты (размещение прудов, озёр и водохранилищ площадью менее 0,5 кв.км).</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водные объекты (размещение искусственных озер для рекреационных зон и для систем оснежения площадью 0,7-0,9 кв.км);</w:t>
      </w:r>
    </w:p>
    <w:p>
      <w:pPr>
        <w:pStyle w:val="Normal"/>
        <w:ind w:firstLine="567"/>
        <w:jc w:val="both"/>
        <w:rPr/>
      </w:pPr>
      <w:r>
        <w:rPr>
          <w:rFonts w:cs="Times New Roman" w:ascii="Times New Roman" w:hAnsi="Times New Roman"/>
        </w:rPr>
        <w:t>2) общее пользование водными объектами;</w:t>
      </w:r>
    </w:p>
    <w:p>
      <w:pPr>
        <w:pStyle w:val="Normal"/>
        <w:tabs>
          <w:tab w:val="left" w:pos="1470" w:leader="none"/>
        </w:tabs>
        <w:ind w:firstLine="567"/>
        <w:jc w:val="both"/>
        <w:rPr/>
      </w:pPr>
      <w:r>
        <w:rPr>
          <w:rFonts w:cs="Times New Roman" w:ascii="Times New Roman" w:hAnsi="Times New Roman"/>
        </w:rPr>
        <w:t>3) специальное пользование водными объектами;</w:t>
      </w:r>
    </w:p>
    <w:p>
      <w:pPr>
        <w:pStyle w:val="Normal"/>
        <w:tabs>
          <w:tab w:val="left" w:pos="1470" w:leader="none"/>
        </w:tabs>
        <w:ind w:firstLine="567"/>
        <w:jc w:val="both"/>
        <w:rPr/>
      </w:pPr>
      <w:r>
        <w:rPr>
          <w:rFonts w:cs="Times New Roman" w:ascii="Times New Roman" w:hAnsi="Times New Roman"/>
        </w:rPr>
        <w:t>4) гидротехнические сооружения;</w:t>
      </w:r>
    </w:p>
    <w:p>
      <w:pPr>
        <w:pStyle w:val="Normal"/>
        <w:tabs>
          <w:tab w:val="left" w:pos="1470" w:leader="none"/>
        </w:tabs>
        <w:ind w:firstLine="567"/>
        <w:jc w:val="both"/>
        <w:rPr/>
      </w:pPr>
      <w:r>
        <w:rPr>
          <w:rFonts w:cs="Times New Roman" w:ascii="Times New Roman" w:hAnsi="Times New Roman"/>
        </w:rPr>
        <w:t>5) охота и рыбалка;</w:t>
      </w:r>
    </w:p>
    <w:p>
      <w:pPr>
        <w:pStyle w:val="Normal"/>
        <w:tabs>
          <w:tab w:val="left" w:pos="1470" w:leader="none"/>
        </w:tabs>
        <w:ind w:firstLine="567"/>
        <w:jc w:val="both"/>
        <w:rPr/>
      </w:pPr>
      <w:r>
        <w:rPr>
          <w:rFonts w:cs="Times New Roman" w:ascii="Times New Roman" w:hAnsi="Times New Roman"/>
        </w:rPr>
        <w:t>6) рыбоводство.</w:t>
      </w:r>
    </w:p>
    <w:p>
      <w:pPr>
        <w:pStyle w:val="Normal"/>
        <w:ind w:firstLine="567"/>
        <w:jc w:val="both"/>
        <w:rPr/>
      </w:pPr>
      <w:r>
        <w:rPr>
          <w:rFonts w:cs="Times New Roman" w:ascii="Times New Roman" w:hAnsi="Times New Roman"/>
        </w:rPr>
        <w:t>Размещение объектов у водоемов должно производиться с учетом обеспечения безопасности на воде (ограждения опасных участков, защитные экраны, предупреждающие знаки) и требований статьи 65 Водного кодекса Российской Федерации (соблюдение границ и режимов водоохранных зон, прибрежных защитных полос и береговых полос водных объектов).</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48" w:name="_Toc424230662"/>
      <w:bookmarkEnd w:id="248"/>
      <w:r>
        <w:rPr>
          <w:rFonts w:cs="Times New Roman"/>
        </w:rPr>
        <w:t>Статья 28. Зона объектов отдыха и туризма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Зона объектов отдыха и туризма включает в себя участки территории ВТРК «Архыз», предназначенные для размещения парков, скверов, бульваров, аллей, площадных объектов развлечения, спорта.</w:t>
      </w:r>
    </w:p>
    <w:p>
      <w:pPr>
        <w:pStyle w:val="Normal"/>
        <w:ind w:firstLine="567"/>
        <w:jc w:val="both"/>
        <w:rPr/>
      </w:pPr>
      <w:r>
        <w:rPr>
          <w:rFonts w:cs="Times New Roman" w:ascii="Times New Roman" w:hAnsi="Times New Roman"/>
        </w:rPr>
        <w:t>В зоне объектов отдыха и туризма допускается размещение дорожно-тропиночной сети, лыжных трасс, велосипедных и беговых дорожек.</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1) общее пользование территории (размещение дорожно-тропиночной сети, парков, скверов, бульваров, аллей);</w:t>
      </w:r>
    </w:p>
    <w:p>
      <w:pPr>
        <w:pStyle w:val="Normal"/>
        <w:ind w:firstLine="567"/>
        <w:jc w:val="both"/>
        <w:rPr/>
      </w:pPr>
      <w:r>
        <w:rPr>
          <w:rFonts w:cs="Times New Roman" w:ascii="Times New Roman" w:hAnsi="Times New Roman"/>
        </w:rPr>
        <w:t>2) спорт (размещение площадных объектов развлечения, спорта).</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общее пользование территории (размещение павильонов для отдыха, навесов);</w:t>
      </w:r>
    </w:p>
    <w:p>
      <w:pPr>
        <w:pStyle w:val="Normal"/>
        <w:ind w:firstLine="567"/>
        <w:jc w:val="both"/>
        <w:rPr/>
      </w:pPr>
      <w:r>
        <w:rPr>
          <w:rFonts w:cs="Times New Roman" w:ascii="Times New Roman" w:hAnsi="Times New Roman"/>
        </w:rPr>
        <w:t>2) спорт (размещение лыжных трасс, велосипедных и беговых дорожек, пунктов проката спортинвентаря, спортивных и детских площадок);</w:t>
      </w:r>
    </w:p>
    <w:p>
      <w:pPr>
        <w:pStyle w:val="Normal"/>
        <w:ind w:firstLine="567"/>
        <w:jc w:val="both"/>
        <w:rPr/>
      </w:pPr>
      <w:r>
        <w:rPr>
          <w:rFonts w:cs="Times New Roman" w:ascii="Times New Roman" w:hAnsi="Times New Roman"/>
        </w:rPr>
        <w:t>3) культурное развитие (размещение открытых сценических площадок с местами для зрителей).</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1) гостиничное обслуживание;</w:t>
      </w:r>
    </w:p>
    <w:p>
      <w:pPr>
        <w:pStyle w:val="Normal"/>
        <w:ind w:firstLine="567"/>
        <w:jc w:val="both"/>
        <w:rPr/>
      </w:pPr>
      <w:r>
        <w:rPr>
          <w:rFonts w:cs="Times New Roman" w:ascii="Times New Roman" w:hAnsi="Times New Roman"/>
        </w:rPr>
        <w:t>2) передвижное жилье;</w:t>
      </w:r>
    </w:p>
    <w:p>
      <w:pPr>
        <w:pStyle w:val="Normal"/>
        <w:ind w:firstLine="567"/>
        <w:jc w:val="both"/>
        <w:rPr/>
      </w:pPr>
      <w:r>
        <w:rPr>
          <w:rFonts w:cs="Times New Roman" w:ascii="Times New Roman" w:hAnsi="Times New Roman"/>
        </w:rPr>
        <w:t>3) природно-познавательный туризм;</w:t>
      </w:r>
    </w:p>
    <w:p>
      <w:pPr>
        <w:pStyle w:val="Normal"/>
        <w:ind w:firstLine="567"/>
        <w:jc w:val="both"/>
        <w:rPr/>
      </w:pPr>
      <w:r>
        <w:rPr>
          <w:rFonts w:cs="Times New Roman" w:ascii="Times New Roman" w:hAnsi="Times New Roman"/>
        </w:rPr>
        <w:t>4) охота и рыбалка;</w:t>
      </w:r>
    </w:p>
    <w:p>
      <w:pPr>
        <w:pStyle w:val="Normal"/>
        <w:ind w:firstLine="567"/>
        <w:jc w:val="both"/>
        <w:rPr/>
      </w:pPr>
      <w:r>
        <w:rPr>
          <w:rFonts w:cs="Times New Roman" w:ascii="Times New Roman" w:hAnsi="Times New Roman"/>
        </w:rPr>
        <w:t>5) поля для гольфа или конных прогулок;</w:t>
      </w:r>
    </w:p>
    <w:p>
      <w:pPr>
        <w:pStyle w:val="Normal"/>
        <w:ind w:firstLine="567"/>
        <w:jc w:val="both"/>
        <w:rPr/>
      </w:pPr>
      <w:r>
        <w:rPr>
          <w:rFonts w:cs="Times New Roman" w:ascii="Times New Roman" w:hAnsi="Times New Roman"/>
        </w:rPr>
        <w:t>6) трубопроводный транспорт;</w:t>
      </w:r>
    </w:p>
    <w:p>
      <w:pPr>
        <w:pStyle w:val="Normal"/>
        <w:ind w:firstLine="567"/>
        <w:jc w:val="both"/>
        <w:rPr/>
      </w:pPr>
      <w:r>
        <w:rPr>
          <w:rFonts w:cs="Times New Roman" w:ascii="Times New Roman" w:hAnsi="Times New Roman"/>
        </w:rPr>
        <w:t>7) бытовое обслуживание;</w:t>
      </w:r>
    </w:p>
    <w:p>
      <w:pPr>
        <w:pStyle w:val="Normal"/>
        <w:ind w:firstLine="567"/>
        <w:jc w:val="both"/>
        <w:rPr/>
      </w:pPr>
      <w:r>
        <w:rPr>
          <w:rFonts w:cs="Times New Roman" w:ascii="Times New Roman" w:hAnsi="Times New Roman"/>
        </w:rPr>
        <w:t>8) общественное питание;</w:t>
      </w:r>
    </w:p>
    <w:p>
      <w:pPr>
        <w:pStyle w:val="Normal"/>
        <w:ind w:firstLine="567"/>
        <w:jc w:val="both"/>
        <w:rPr/>
      </w:pPr>
      <w:r>
        <w:rPr>
          <w:rFonts w:cs="Times New Roman" w:ascii="Times New Roman" w:hAnsi="Times New Roman"/>
        </w:rPr>
        <w:t>9) обслуживание автотранспорта;</w:t>
      </w:r>
    </w:p>
    <w:p>
      <w:pPr>
        <w:pStyle w:val="Normal"/>
        <w:ind w:firstLine="567"/>
        <w:jc w:val="both"/>
        <w:rPr/>
      </w:pPr>
      <w:r>
        <w:rPr>
          <w:rFonts w:cs="Times New Roman" w:ascii="Times New Roman" w:hAnsi="Times New Roman"/>
        </w:rPr>
        <w:t>10) курортная деятельность.</w:t>
      </w:r>
    </w:p>
    <w:p>
      <w:pPr>
        <w:pStyle w:val="Normal"/>
        <w:tabs>
          <w:tab w:val="left" w:pos="1185" w:leader="none"/>
        </w:tabs>
        <w:ind w:firstLine="567"/>
        <w:jc w:val="both"/>
        <w:rPr/>
      </w:pPr>
      <w:r>
        <w:rPr>
          <w:rFonts w:cs="Times New Roman" w:ascii="Times New Roman" w:hAnsi="Times New Roman"/>
        </w:rPr>
        <w:t>5. Степень огнестойкости зданий и противопожарные разрывы должны соответствовать действующему законодательству.</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49" w:name="_Toc424230663"/>
      <w:bookmarkEnd w:id="249"/>
      <w:r>
        <w:rPr>
          <w:rFonts w:cs="Times New Roman"/>
        </w:rPr>
        <w:t>Статья 29. Зона режимных объектов</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Зона режимных объектов включает в себя участки территории ВТРК «Архыз», предназначенные для размещения режимных объектов, установления санитарно-защитных зон указанных объектов, размещения иных объектов, связанных с объектами, расположенными в зоне режимных объектов, либо с обслуживанием таких объектов.</w:t>
      </w:r>
    </w:p>
    <w:p>
      <w:pPr>
        <w:pStyle w:val="Normal"/>
        <w:ind w:firstLine="567"/>
        <w:jc w:val="both"/>
        <w:rPr/>
      </w:pPr>
      <w:r>
        <w:rPr>
          <w:rFonts w:cs="Times New Roman" w:ascii="Times New Roman" w:hAnsi="Times New Roman"/>
        </w:rPr>
        <w:t>2. Основные виды разрешенного использования:</w:t>
      </w:r>
    </w:p>
    <w:p>
      <w:pPr>
        <w:pStyle w:val="Normal"/>
        <w:ind w:firstLine="567"/>
        <w:jc w:val="both"/>
        <w:rPr/>
      </w:pPr>
      <w:r>
        <w:rPr>
          <w:rFonts w:cs="Times New Roman" w:ascii="Times New Roman" w:hAnsi="Times New Roman"/>
        </w:rPr>
        <w:t>1) охрана Государственной границы Российской Федерации (размещение режимных объектов);</w:t>
      </w:r>
    </w:p>
    <w:p>
      <w:pPr>
        <w:pStyle w:val="Normal"/>
        <w:ind w:firstLine="567"/>
        <w:jc w:val="both"/>
        <w:rPr/>
      </w:pPr>
      <w:r>
        <w:rPr>
          <w:rFonts w:cs="Times New Roman" w:ascii="Times New Roman" w:hAnsi="Times New Roman"/>
        </w:rPr>
        <w:t>2) обеспечение внутреннего правопорядка.</w:t>
      </w:r>
    </w:p>
    <w:p>
      <w:pPr>
        <w:pStyle w:val="Normal"/>
        <w:ind w:firstLine="567"/>
        <w:jc w:val="both"/>
        <w:rPr/>
      </w:pPr>
      <w:r>
        <w:rPr>
          <w:rFonts w:cs="Times New Roman" w:ascii="Times New Roman" w:hAnsi="Times New Roman"/>
        </w:rPr>
        <w:t>3. Вспомогательные виды разрешенного использования:</w:t>
      </w:r>
    </w:p>
    <w:p>
      <w:pPr>
        <w:pStyle w:val="Normal"/>
        <w:ind w:firstLine="567"/>
        <w:jc w:val="both"/>
        <w:rPr/>
      </w:pPr>
      <w:r>
        <w:rPr>
          <w:rFonts w:cs="Times New Roman" w:ascii="Times New Roman" w:hAnsi="Times New Roman"/>
        </w:rPr>
        <w:t>1) воздушный транспорт (размещение вертолетных площадок);</w:t>
      </w:r>
    </w:p>
    <w:p>
      <w:pPr>
        <w:pStyle w:val="Normal"/>
        <w:ind w:firstLine="567"/>
        <w:jc w:val="both"/>
        <w:rPr/>
      </w:pPr>
      <w:r>
        <w:rPr>
          <w:rFonts w:cs="Times New Roman" w:ascii="Times New Roman" w:hAnsi="Times New Roman"/>
        </w:rPr>
        <w:t>2) коммунальное обслуживание (размещение объектов инженерного обеспечения, инженерной инфраструктуры и линейных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ind w:firstLine="567"/>
        <w:jc w:val="both"/>
        <w:rPr/>
      </w:pPr>
      <w:r>
        <w:rPr>
          <w:rFonts w:cs="Times New Roman" w:ascii="Times New Roman" w:hAnsi="Times New Roman"/>
        </w:rPr>
        <w:t>4. Условно разрешенные виды использования:</w:t>
      </w:r>
    </w:p>
    <w:p>
      <w:pPr>
        <w:pStyle w:val="Normal"/>
        <w:ind w:firstLine="567"/>
        <w:jc w:val="both"/>
        <w:rPr/>
      </w:pPr>
      <w:r>
        <w:rPr>
          <w:rFonts w:cs="Times New Roman" w:ascii="Times New Roman" w:hAnsi="Times New Roman"/>
        </w:rPr>
        <w:t>1) коммунальное обслуживание (размещение коммунальных объектов, связанных с объектами, расположенными в данной зоне, а также в смежных территориальных зонах, либо с обслуживанием таких объектов).</w:t>
      </w:r>
    </w:p>
    <w:p>
      <w:pPr>
        <w:pStyle w:val="Normal"/>
        <w:tabs>
          <w:tab w:val="left" w:pos="1185" w:leader="none"/>
        </w:tabs>
        <w:ind w:firstLine="567"/>
        <w:jc w:val="both"/>
        <w:rPr/>
      </w:pPr>
      <w:r>
        <w:rPr>
          <w:rFonts w:cs="Times New Roman" w:ascii="Times New Roman" w:hAnsi="Times New Roman"/>
        </w:rPr>
        <w:t>5. Степень огнестойкости зданий и противопожарные разрывы должны соответствовать действующему законодательству.</w:t>
      </w:r>
    </w:p>
    <w:p>
      <w:pPr>
        <w:pStyle w:val="Normal"/>
        <w:ind w:firstLine="567"/>
        <w:jc w:val="both"/>
        <w:rPr>
          <w:rFonts w:ascii="Times New Roman" w:hAnsi="Times New Roman" w:cs="Times New Roman"/>
        </w:rPr>
      </w:pPr>
      <w:r>
        <w:rPr>
          <w:rFonts w:cs="Times New Roman" w:ascii="Times New Roman" w:hAnsi="Times New Roman"/>
        </w:rPr>
      </w:r>
      <w:r>
        <w:br w:type="page"/>
      </w:r>
    </w:p>
    <w:p>
      <w:pPr>
        <w:pStyle w:val="1"/>
        <w:numPr>
          <w:ilvl w:val="0"/>
          <w:numId w:val="0"/>
        </w:numPr>
        <w:spacing w:lineRule="auto" w:line="240"/>
        <w:ind w:firstLine="567"/>
        <w:jc w:val="both"/>
        <w:rPr/>
      </w:pPr>
      <w:bookmarkStart w:id="250" w:name="_Toc385353956"/>
      <w:bookmarkStart w:id="251" w:name="_Toc424230664"/>
      <w:bookmarkEnd w:id="250"/>
      <w:bookmarkEnd w:id="251"/>
      <w:r>
        <w:rPr>
          <w:rFonts w:cs="Times New Roman"/>
        </w:rPr>
        <w:t>Часть 3. Регулирование землепользования и застройки в зонах с особыми условиями использования территорий</w:t>
      </w:r>
    </w:p>
    <w:p>
      <w:pPr>
        <w:pStyle w:val="Normal"/>
        <w:ind w:firstLine="567"/>
        <w:jc w:val="both"/>
        <w:rPr>
          <w:rFonts w:ascii="Times New Roman" w:hAnsi="Times New Roman" w:cs="Times New Roman"/>
        </w:rPr>
      </w:pPr>
      <w:r>
        <w:rPr>
          <w:rFonts w:cs="Times New Roman" w:ascii="Times New Roman" w:hAnsi="Times New Roman"/>
        </w:rPr>
      </w:r>
    </w:p>
    <w:p>
      <w:pPr>
        <w:pStyle w:val="2"/>
        <w:numPr>
          <w:ilvl w:val="0"/>
          <w:numId w:val="0"/>
        </w:numPr>
        <w:spacing w:lineRule="auto" w:line="240"/>
        <w:ind w:left="567" w:hanging="0"/>
        <w:jc w:val="both"/>
        <w:rPr/>
      </w:pPr>
      <w:bookmarkStart w:id="252" w:name="_Toc379703676"/>
      <w:bookmarkStart w:id="253" w:name="_Toc385353957"/>
      <w:bookmarkStart w:id="254" w:name="_Toc424230665"/>
      <w:bookmarkEnd w:id="252"/>
      <w:bookmarkEnd w:id="253"/>
      <w:bookmarkEnd w:id="254"/>
      <w:r>
        <w:rPr>
          <w:rFonts w:cs="Times New Roman"/>
          <w:szCs w:val="24"/>
        </w:rPr>
        <w:t>Глава 7. Зонирование с учётом особых условий использования территорий</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55" w:name="_Toc379703677"/>
      <w:bookmarkStart w:id="256" w:name="_Toc385353958"/>
      <w:bookmarkStart w:id="257" w:name="_Toc424230666"/>
      <w:bookmarkEnd w:id="255"/>
      <w:bookmarkEnd w:id="256"/>
      <w:bookmarkEnd w:id="257"/>
      <w:r>
        <w:rPr>
          <w:rFonts w:cs="Times New Roman"/>
          <w:szCs w:val="24"/>
        </w:rPr>
        <w:t>Статья 30. Зоны с особыми условиями использования территорий (ограничений градостроительной деятельности)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Зоны с особыми условиями использования территорий – охранные, санитарно-защитные зоны, санитарные разрывы, зоны охраны объектов культурного наследия (памятников истории и культуры), водоохранные зоны, зоны санитарной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w:t>
      </w:r>
    </w:p>
    <w:p>
      <w:pPr>
        <w:pStyle w:val="Normal"/>
        <w:ind w:firstLine="567"/>
        <w:jc w:val="both"/>
        <w:rPr/>
      </w:pPr>
      <w:r>
        <w:rPr>
          <w:rFonts w:cs="Times New Roman" w:ascii="Times New Roman" w:hAnsi="Times New Roman"/>
        </w:rPr>
        <w:t>2. В зонах с особыми условиями использования территорий устанавливаются два вида регламентации использования в условиях конкретных ограничений:</w:t>
      </w:r>
    </w:p>
    <w:p>
      <w:pPr>
        <w:pStyle w:val="ListParagraph"/>
        <w:numPr>
          <w:ilvl w:val="0"/>
          <w:numId w:val="5"/>
        </w:numPr>
        <w:spacing w:lineRule="auto" w:line="240" w:before="0" w:after="0"/>
        <w:ind w:left="0" w:firstLine="567"/>
        <w:jc w:val="both"/>
        <w:rPr/>
      </w:pPr>
      <w:r>
        <w:rPr>
          <w:rFonts w:ascii="Times New Roman" w:hAnsi="Times New Roman"/>
          <w:sz w:val="24"/>
          <w:szCs w:val="24"/>
        </w:rPr>
        <w:t>условия использования и содержания территорий – использование разрешено при условии проведения комплекса мероприятий, нейтрализующих действие ограничений, либо при условии выполнения ряда специальных требований;</w:t>
      </w:r>
    </w:p>
    <w:p>
      <w:pPr>
        <w:pStyle w:val="ListParagraph"/>
        <w:numPr>
          <w:ilvl w:val="0"/>
          <w:numId w:val="5"/>
        </w:numPr>
        <w:spacing w:lineRule="auto" w:line="240" w:before="0" w:after="0"/>
        <w:ind w:left="0" w:firstLine="567"/>
        <w:jc w:val="both"/>
        <w:rPr/>
      </w:pPr>
      <w:r>
        <w:rPr>
          <w:rFonts w:ascii="Times New Roman" w:hAnsi="Times New Roman"/>
          <w:sz w:val="24"/>
          <w:szCs w:val="24"/>
        </w:rPr>
        <w:t>запрещённые виды использования территорий – использование запрещено безусловно.</w:t>
      </w:r>
    </w:p>
    <w:p>
      <w:pPr>
        <w:pStyle w:val="Normal"/>
        <w:ind w:firstLine="567"/>
        <w:jc w:val="both"/>
        <w:rPr/>
      </w:pPr>
      <w:bookmarkStart w:id="258" w:name="_Toc236033107"/>
      <w:bookmarkStart w:id="259" w:name="_Toc255997023"/>
      <w:bookmarkEnd w:id="258"/>
      <w:bookmarkEnd w:id="259"/>
      <w:r>
        <w:rPr>
          <w:rFonts w:cs="Times New Roman" w:ascii="Times New Roman" w:hAnsi="Times New Roman"/>
        </w:rPr>
        <w:t>3. С каждым фактором ограничений, проявляющимся в разных территориальных зонах, связан только один ограничительный регламент независимо от функции, на которую он воздействует. В этом – отличие ограничительных регламентов от регламентов целевого использования, которые привязаны только к функции независимо от места её проявления.</w:t>
      </w:r>
    </w:p>
    <w:p>
      <w:pPr>
        <w:pStyle w:val="Normal"/>
        <w:ind w:firstLine="567"/>
        <w:jc w:val="both"/>
        <w:rPr/>
      </w:pPr>
      <w:r>
        <w:rPr>
          <w:rFonts w:cs="Times New Roman" w:ascii="Times New Roman" w:hAnsi="Times New Roman"/>
        </w:rPr>
        <w:t>4. К зонам с особыми условиями использования территорий отнесены:</w:t>
      </w:r>
    </w:p>
    <w:p>
      <w:pPr>
        <w:pStyle w:val="ListParagraph"/>
        <w:numPr>
          <w:ilvl w:val="0"/>
          <w:numId w:val="6"/>
        </w:numPr>
        <w:spacing w:lineRule="auto" w:line="240" w:before="0" w:after="0"/>
        <w:ind w:left="0" w:firstLine="567"/>
        <w:jc w:val="both"/>
        <w:rPr/>
      </w:pPr>
      <w:r>
        <w:rPr>
          <w:rFonts w:ascii="Times New Roman" w:hAnsi="Times New Roman"/>
          <w:sz w:val="24"/>
          <w:szCs w:val="24"/>
        </w:rPr>
        <w:t>зоны, формируемые требованиями охраны объектов культурного наследия;</w:t>
      </w:r>
    </w:p>
    <w:p>
      <w:pPr>
        <w:pStyle w:val="ListParagraph"/>
        <w:numPr>
          <w:ilvl w:val="0"/>
          <w:numId w:val="6"/>
        </w:numPr>
        <w:spacing w:lineRule="auto" w:line="240" w:before="0" w:after="0"/>
        <w:ind w:left="0" w:firstLine="567"/>
        <w:jc w:val="both"/>
        <w:rPr/>
      </w:pPr>
      <w:r>
        <w:rPr>
          <w:rFonts w:ascii="Times New Roman" w:hAnsi="Times New Roman"/>
          <w:sz w:val="24"/>
          <w:szCs w:val="24"/>
        </w:rPr>
        <w:t>зоны, формируемые санитарно-гигиеническими и экологическими требованиями;</w:t>
      </w:r>
    </w:p>
    <w:p>
      <w:pPr>
        <w:pStyle w:val="ListParagraph"/>
        <w:numPr>
          <w:ilvl w:val="0"/>
          <w:numId w:val="6"/>
        </w:numPr>
        <w:spacing w:lineRule="auto" w:line="240" w:before="0" w:after="0"/>
        <w:ind w:left="0" w:firstLine="567"/>
        <w:jc w:val="both"/>
        <w:rPr/>
      </w:pPr>
      <w:r>
        <w:rPr>
          <w:rFonts w:ascii="Times New Roman" w:hAnsi="Times New Roman"/>
          <w:sz w:val="24"/>
          <w:szCs w:val="24"/>
        </w:rPr>
        <w:t>зоны затопления и подтопления;</w:t>
      </w:r>
    </w:p>
    <w:p>
      <w:pPr>
        <w:pStyle w:val="ListParagraph"/>
        <w:numPr>
          <w:ilvl w:val="0"/>
          <w:numId w:val="6"/>
        </w:numPr>
        <w:spacing w:lineRule="auto" w:line="240" w:before="0" w:after="0"/>
        <w:ind w:left="0" w:firstLine="567"/>
        <w:jc w:val="both"/>
        <w:rPr/>
      </w:pPr>
      <w:r>
        <w:rPr>
          <w:rFonts w:ascii="Times New Roman" w:hAnsi="Times New Roman"/>
          <w:sz w:val="24"/>
          <w:szCs w:val="24"/>
        </w:rPr>
        <w:t>зоны, формируемые требованиями пожарной безопасности.</w:t>
      </w:r>
    </w:p>
    <w:p>
      <w:pPr>
        <w:pStyle w:val="Normal"/>
        <w:ind w:firstLine="567"/>
        <w:jc w:val="both"/>
        <w:rPr/>
      </w:pPr>
      <w:r>
        <w:rPr>
          <w:rFonts w:cs="Times New Roman" w:ascii="Times New Roman" w:hAnsi="Times New Roman"/>
        </w:rPr>
        <w:t>5. Зоны с особыми условиями использования территорий перекрывают зоны действия других регламентов и накладывают дополнительные ограничения на использование территорий. Эти требования и ограничения деятельности на земельных участках, установленные с позиций охраны природной и историко-культурной среды, являются дополнительными по отношению к видам разрешённого использования объектов недвижимости и параметрам разрешённого строительства, установленными основными градостроительными режимами.</w:t>
      </w:r>
    </w:p>
    <w:p>
      <w:pPr>
        <w:pStyle w:val="Normal"/>
        <w:ind w:firstLine="567"/>
        <w:jc w:val="both"/>
        <w:rPr/>
      </w:pPr>
      <w:r>
        <w:rPr>
          <w:rFonts w:cs="Times New Roman" w:ascii="Times New Roman" w:hAnsi="Times New Roman"/>
        </w:rPr>
        <w:t>6. Зоны с особыми условиями использования территорий застройки распространяются на участки строительства и реконструкции объектов в случаях, когда вновь возводимый, реконструируемый объект расположен непосредственно в одной или нескольких вышеперечисленных зонах.</w:t>
      </w:r>
    </w:p>
    <w:p>
      <w:pPr>
        <w:pStyle w:val="Normal"/>
        <w:ind w:firstLine="567"/>
        <w:jc w:val="both"/>
        <w:rPr/>
      </w:pPr>
      <w:r>
        <w:rPr>
          <w:rFonts w:cs="Times New Roman" w:ascii="Times New Roman" w:hAnsi="Times New Roman"/>
        </w:rPr>
        <w:t>7. Границы территорий с особыми условиями использования территорий устанавливаются соответствующими линиями градостроительного регулирования, в пределах которых действуют особые режимы и правила их использования в соответствии с градостроительными режимами.</w:t>
      </w:r>
    </w:p>
    <w:p>
      <w:pPr>
        <w:pStyle w:val="Normal"/>
        <w:ind w:firstLine="567"/>
        <w:jc w:val="both"/>
        <w:rPr/>
      </w:pPr>
      <w:r>
        <w:rPr>
          <w:rFonts w:cs="Times New Roman" w:ascii="Times New Roman" w:hAnsi="Times New Roman"/>
        </w:rPr>
        <w:t>8. Разрешительная документация на предоставление участков под новое строительство в случае размещения объекта на территории зон с особыми условиями использования территорий должна согласовываться с соответствующими органами контроля и надзора в установленном законом порядке.</w:t>
      </w:r>
    </w:p>
    <w:p>
      <w:pPr>
        <w:pStyle w:val="Normal"/>
        <w:ind w:firstLine="567"/>
        <w:jc w:val="both"/>
        <w:rPr/>
      </w:pPr>
      <w:r>
        <w:rPr>
          <w:rFonts w:cs="Times New Roman" w:ascii="Times New Roman" w:hAnsi="Times New Roman"/>
        </w:rPr>
        <w:t>9. Установление зон не влечёт за собой изъятие земельных участков у собственников земель, землевладельцев, землепользователей или запрета на совершение сделок с земельными участками, за исключением случаев, предусмотренных законодательством.</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60" w:name="_Toc344286782"/>
      <w:bookmarkStart w:id="261" w:name="_Toc424230667"/>
      <w:bookmarkEnd w:id="260"/>
      <w:bookmarkEnd w:id="261"/>
      <w:r>
        <w:rPr>
          <w:rFonts w:cs="Times New Roman"/>
          <w:szCs w:val="24"/>
        </w:rPr>
        <w:t>Статья 31. Состав зон с особыми условиями использования территорий, формируемых санитарными и экологическими требованиями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Санитарно-защитные зоны и санитарные разрывы</w:t>
      </w:r>
    </w:p>
    <w:p>
      <w:pPr>
        <w:pStyle w:val="Normal"/>
        <w:ind w:firstLine="567"/>
        <w:jc w:val="both"/>
        <w:rPr/>
      </w:pPr>
      <w:r>
        <w:rPr>
          <w:rFonts w:cs="Times New Roman" w:ascii="Times New Roman" w:hAnsi="Times New Roman"/>
        </w:rPr>
        <w:t>Требования определения границ и режимов градостроительного использования санитарно-защитных зон и санитарных разрывов распространяются на размещение, проектирование, строительство и эксплуатацию строящихся, реконструируемых промышленных объектов и производств, объектов транспорта, связи, сельского хозяйства, энергетики, опытно-экспериментальных производств, объектов коммунального назначения, спорта, торговли, общественного питания и др., являющихся источниками воздействия на среду обитания и здоровье человека. По своему функциональному назначению санитарно-защитная зона и санитарный разрыв являются защитным барьером, обеспечивающим уровень безопасности населения при эксплуатации объекта в штатном режиме.</w:t>
      </w:r>
    </w:p>
    <w:p>
      <w:pPr>
        <w:pStyle w:val="Normal"/>
        <w:ind w:firstLine="567"/>
        <w:jc w:val="both"/>
        <w:rPr/>
      </w:pPr>
      <w:r>
        <w:rPr>
          <w:rFonts w:cs="Times New Roman" w:ascii="Times New Roman" w:hAnsi="Times New Roman"/>
        </w:rPr>
        <w:t>Объекты капитального строительства, являющиеся источниками воздействия на среду обитания и здоровье человека, необходимо отделять санитарно-защитными зонами от территории жилой застройки, ландшафтно-рекреационных зон, зон отдыха, территорий курортов, санаториев, домов отдыха, стационарных лечебно-профилактических учреждений, территорий садоводческих товариществ и коттеджной застройки, коллективных или индивидуальных дачных и садово-огородных участков. Границы санитарно-защитной зоны устанавливаются от источников химического, биологического и/или физического воздействия либо от границы земельного участка, принадлежащего объекту для ведения хозяйственной деятельности и оформленного в установленном порядке, до ее внешней границы в заданном направлении.</w:t>
      </w:r>
    </w:p>
    <w:p>
      <w:pPr>
        <w:pStyle w:val="Normal"/>
        <w:ind w:firstLine="567"/>
        <w:jc w:val="both"/>
        <w:rPr/>
      </w:pPr>
      <w:r>
        <w:rPr>
          <w:rFonts w:cs="Times New Roman" w:ascii="Times New Roman" w:hAnsi="Times New Roman"/>
        </w:rPr>
        <w:t>В зависимости от характеристики выбросов для объекта, по которому ведущим для установления санитарно-защитной зоны фактором является химическое загрязнение атмосферного воздуха, размер санитарно-защитной зоны устанавливается от границы площадки и/или от источника выбросов загрязняющих веществ.</w:t>
      </w:r>
    </w:p>
    <w:p>
      <w:pPr>
        <w:pStyle w:val="Normal"/>
        <w:ind w:firstLine="567"/>
        <w:jc w:val="both"/>
        <w:rPr/>
      </w:pPr>
      <w:r>
        <w:rPr>
          <w:rFonts w:cs="Times New Roman" w:ascii="Times New Roman" w:hAnsi="Times New Roman"/>
        </w:rPr>
        <w:t>От границы территории площадки:</w:t>
      </w:r>
    </w:p>
    <w:p>
      <w:pPr>
        <w:pStyle w:val="Normal"/>
        <w:ind w:firstLine="567"/>
        <w:jc w:val="both"/>
        <w:rPr/>
      </w:pPr>
      <w:r>
        <w:rPr>
          <w:rFonts w:cs="Times New Roman" w:ascii="Times New Roman" w:hAnsi="Times New Roman"/>
        </w:rPr>
        <w:t>- от организованных и неорганизованных источников при наличии технологического оборудования на открытых площадках;</w:t>
      </w:r>
    </w:p>
    <w:p>
      <w:pPr>
        <w:pStyle w:val="Normal"/>
        <w:ind w:firstLine="567"/>
        <w:jc w:val="both"/>
        <w:rPr/>
      </w:pPr>
      <w:r>
        <w:rPr>
          <w:rFonts w:cs="Times New Roman" w:ascii="Times New Roman" w:hAnsi="Times New Roman"/>
        </w:rPr>
        <w:t>- в случае организации производства с источниками, рассредоточенными по территории площадки;</w:t>
      </w:r>
    </w:p>
    <w:p>
      <w:pPr>
        <w:pStyle w:val="Normal"/>
        <w:ind w:firstLine="567"/>
        <w:jc w:val="both"/>
        <w:rPr/>
      </w:pPr>
      <w:r>
        <w:rPr>
          <w:rFonts w:cs="Times New Roman" w:ascii="Times New Roman" w:hAnsi="Times New Roman"/>
        </w:rPr>
        <w:t>- при наличии наземных и низких источников, холодных выбросов средней высоты.</w:t>
      </w:r>
    </w:p>
    <w:p>
      <w:pPr>
        <w:pStyle w:val="Normal"/>
        <w:ind w:firstLine="567"/>
        <w:jc w:val="both"/>
        <w:rPr/>
      </w:pPr>
      <w:r>
        <w:rPr>
          <w:rFonts w:cs="Times New Roman" w:ascii="Times New Roman" w:hAnsi="Times New Roman"/>
        </w:rPr>
        <w:t>От источников выбросов:</w:t>
      </w:r>
    </w:p>
    <w:p>
      <w:pPr>
        <w:pStyle w:val="Normal"/>
        <w:ind w:firstLine="567"/>
        <w:jc w:val="both"/>
        <w:rPr/>
      </w:pPr>
      <w:r>
        <w:rPr>
          <w:rFonts w:cs="Times New Roman" w:ascii="Times New Roman" w:hAnsi="Times New Roman"/>
        </w:rPr>
        <w:t>- при наличии высоких, средних источников нагретых выбросов.</w:t>
      </w:r>
    </w:p>
    <w:p>
      <w:pPr>
        <w:pStyle w:val="Normal"/>
        <w:ind w:firstLine="567"/>
        <w:jc w:val="both"/>
        <w:rPr/>
      </w:pPr>
      <w:r>
        <w:rPr>
          <w:rFonts w:cs="Times New Roman" w:ascii="Times New Roman" w:hAnsi="Times New Roman"/>
        </w:rPr>
        <w:t>Для гаражей и автостоянок, а также вдоль стандартных маршрутов полета в зоне взлета и посадки воздушных судов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pPr>
        <w:pStyle w:val="Normal"/>
        <w:ind w:firstLine="567"/>
        <w:jc w:val="both"/>
        <w:rPr/>
      </w:pPr>
      <w:r>
        <w:rPr>
          <w:rFonts w:cs="Times New Roman" w:ascii="Times New Roman" w:hAnsi="Times New Roman"/>
        </w:rPr>
        <w:t>Размеры санитарно-защитных зон и санитарных разрывов для объектов и производств, являющихся источниками физических факторов воздействия на население (вертолётная площадка, объекты электроснабжения и связи), устанавливаются на основании акустических и специализированных расчётов с учётом места расположения источников и характера создаваемого ими шума, электромагнитных полей, излучений, инфразвука и других физических факторов. Для установления размеров санитарно-защитных зон расчётные параметры должны быть подтверждены натурными измерениями факторов физического воздействия на атмосферный воздух.</w:t>
      </w:r>
    </w:p>
    <w:p>
      <w:pPr>
        <w:pStyle w:val="Normal"/>
        <w:ind w:firstLine="567"/>
        <w:jc w:val="both"/>
        <w:rPr/>
      </w:pPr>
      <w:r>
        <w:rPr>
          <w:rFonts w:cs="Times New Roman" w:ascii="Times New Roman" w:hAnsi="Times New Roman"/>
        </w:rPr>
        <w:t>Лабораторные исследования атмосферного воздуха и измерения физических воздействий на атмосферный воздух проводятся на границе санитарно-защитной зоны объектов и производств, а также в жилой (курортной) застройке лабораториями, аккредитованными в установленном порядке на проведение таких работ.</w:t>
      </w:r>
    </w:p>
    <w:p>
      <w:pPr>
        <w:pStyle w:val="Normal"/>
        <w:ind w:firstLine="567"/>
        <w:jc w:val="both"/>
        <w:rPr/>
      </w:pPr>
      <w:r>
        <w:rPr>
          <w:rFonts w:cs="Times New Roman" w:ascii="Times New Roman" w:hAnsi="Times New Roman"/>
        </w:rPr>
        <w:t>Установление величины зон негативных воздействий электромагнитных полей (в составе СЗЗ и зон ограничения застройки – ЗОЗ) в местах размещения передающих радиотехнических объектов осуществляется в соответствии с действующими санитарными правилами и нормами по электромагнитным излучениям радиочастотного диапазона и методиками расчёта интенсивности электромагнитного излучения радиочастот.</w:t>
      </w:r>
    </w:p>
    <w:p>
      <w:pPr>
        <w:pStyle w:val="Normal"/>
        <w:ind w:firstLine="567"/>
        <w:jc w:val="both"/>
        <w:rPr/>
      </w:pPr>
      <w:r>
        <w:rPr>
          <w:rFonts w:cs="Times New Roman" w:ascii="Times New Roman" w:hAnsi="Times New Roman"/>
        </w:rPr>
        <w:t xml:space="preserve">В Правилах, разработанных на основе проекта планировки, приняты размеры санитарно-защитных зон (далее – СЗЗ) и санитарных разрывов (далее – СР) с учётом рекомендуемых минимальных размеров СЗЗ и СР в соответствии с главой </w:t>
      </w:r>
      <w:r>
        <w:rPr>
          <w:rFonts w:cs="Times New Roman" w:ascii="Times New Roman" w:hAnsi="Times New Roman"/>
          <w:lang w:val="en-US"/>
        </w:rPr>
        <w:t>VII</w:t>
      </w:r>
      <w:r>
        <w:rPr>
          <w:rFonts w:cs="Times New Roman" w:ascii="Times New Roman" w:hAnsi="Times New Roman"/>
        </w:rPr>
        <w:t xml:space="preserve"> и приложениями 1 – 6 </w:t>
      </w:r>
      <w:r>
        <w:rPr>
          <w:rFonts w:eastAsia="Calibri" w:cs="Times New Roman" w:ascii="Times New Roman" w:hAnsi="Times New Roman"/>
        </w:rPr>
        <w:t>СанПиН 2.2.1/2.1.1.1200-03 «</w:t>
      </w:r>
      <w:r>
        <w:rPr>
          <w:rFonts w:cs="Times New Roman" w:ascii="Times New Roman" w:hAnsi="Times New Roman"/>
          <w:bCs/>
        </w:rPr>
        <w:t>Санитарно-защитные зоны и санитарная классификация предприятий, сооружений и иных объектов»</w:t>
      </w:r>
      <w:r>
        <w:rPr>
          <w:rFonts w:eastAsia="Calibri" w:cs="Times New Roman" w:ascii="Times New Roman" w:hAnsi="Times New Roman"/>
        </w:rPr>
        <w:t xml:space="preserve"> (в редакции от 25.04.2014)</w:t>
      </w:r>
      <w:r>
        <w:rPr>
          <w:rFonts w:cs="Times New Roman" w:ascii="Times New Roman" w:hAnsi="Times New Roman"/>
        </w:rPr>
        <w:t>.</w:t>
      </w:r>
    </w:p>
    <w:p>
      <w:pPr>
        <w:pStyle w:val="Normal"/>
        <w:ind w:firstLine="567"/>
        <w:jc w:val="both"/>
        <w:rPr/>
      </w:pPr>
      <w:r>
        <w:rPr>
          <w:rFonts w:cs="Times New Roman" w:ascii="Times New Roman" w:hAnsi="Times New Roman"/>
        </w:rPr>
        <w:t>2. Охранные зоны газопроводов распределительной сети</w:t>
      </w:r>
    </w:p>
    <w:p>
      <w:pPr>
        <w:pStyle w:val="Normal"/>
        <w:ind w:firstLine="567"/>
        <w:jc w:val="both"/>
        <w:rPr/>
      </w:pPr>
      <w:r>
        <w:rPr>
          <w:rFonts w:cs="Times New Roman" w:ascii="Times New Roman" w:hAnsi="Times New Roman"/>
        </w:rPr>
        <w:t>Охранная зона газораспределительной сети – территория с особыми условиями использования, устанавливаемая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pPr>
        <w:pStyle w:val="Normal"/>
        <w:ind w:firstLine="567"/>
        <w:jc w:val="both"/>
        <w:rPr/>
      </w:pPr>
      <w:r>
        <w:rPr>
          <w:rFonts w:cs="Times New Roman" w:ascii="Times New Roman" w:hAnsi="Times New Roman"/>
        </w:rPr>
        <w:t>Правилами учитываются следующие охранные зоны газораспределительных сетей:</w:t>
      </w:r>
    </w:p>
    <w:p>
      <w:pPr>
        <w:pStyle w:val="Normal"/>
        <w:ind w:firstLine="567"/>
        <w:jc w:val="both"/>
        <w:rPr/>
      </w:pPr>
      <w:r>
        <w:rPr>
          <w:rFonts w:cs="Times New Roman" w:ascii="Times New Roman" w:hAnsi="Times New Roman"/>
        </w:rPr>
        <w:t>-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pPr>
        <w:pStyle w:val="Normal"/>
        <w:ind w:firstLine="567"/>
        <w:jc w:val="both"/>
        <w:rPr/>
      </w:pPr>
      <w:r>
        <w:rPr>
          <w:rFonts w:cs="Times New Roman" w:ascii="Times New Roman" w:hAnsi="Times New Roman"/>
        </w:rPr>
        <w:t>-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pPr>
        <w:pStyle w:val="Normal"/>
        <w:ind w:firstLine="567"/>
        <w:jc w:val="both"/>
        <w:rPr/>
      </w:pPr>
      <w:r>
        <w:rPr>
          <w:rFonts w:cs="Times New Roman" w:ascii="Times New Roman" w:hAnsi="Times New Roman"/>
        </w:rPr>
        <w:t>-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pPr>
        <w:pStyle w:val="Normal"/>
        <w:ind w:firstLine="567"/>
        <w:jc w:val="both"/>
        <w:rPr/>
      </w:pPr>
      <w:r>
        <w:rPr>
          <w:rFonts w:cs="Times New Roman" w:ascii="Times New Roman" w:hAnsi="Times New Roman"/>
        </w:rPr>
        <w:t>- вдоль трасс межпоселковых газопроводов (в настоящих трассах – между туристическими деревнями),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pPr>
        <w:pStyle w:val="Normal"/>
        <w:ind w:firstLine="567"/>
        <w:jc w:val="both"/>
        <w:rPr/>
      </w:pPr>
      <w:r>
        <w:rPr>
          <w:rFonts w:cs="Times New Roman" w:ascii="Times New Roman" w:hAnsi="Times New Roman"/>
        </w:rPr>
        <w:t xml:space="preserve">Размеры охранных зон газопроводов </w:t>
      </w:r>
      <w:r>
        <w:rPr>
          <w:rFonts w:eastAsia="Calibri" w:cs="Times New Roman" w:ascii="Times New Roman" w:hAnsi="Times New Roman"/>
        </w:rPr>
        <w:t>учтены в соответствии с требованиями «Правил охраны газораспределительных сетей» (</w:t>
      </w:r>
      <w:r>
        <w:rPr>
          <w:rFonts w:cs="Times New Roman" w:ascii="Times New Roman" w:hAnsi="Times New Roman"/>
        </w:rPr>
        <w:t>утверждены постановлением Правительства Российской Федерации от 20 ноября 2000 года № 878</w:t>
      </w:r>
      <w:r>
        <w:rPr>
          <w:rFonts w:eastAsia="Calibri" w:cs="Times New Roman" w:ascii="Times New Roman" w:hAnsi="Times New Roman"/>
        </w:rPr>
        <w:t>).</w:t>
      </w:r>
    </w:p>
    <w:p>
      <w:pPr>
        <w:pStyle w:val="Normal"/>
        <w:ind w:firstLine="567"/>
        <w:jc w:val="both"/>
        <w:rPr/>
      </w:pPr>
      <w:r>
        <w:rPr>
          <w:rFonts w:cs="Times New Roman" w:ascii="Times New Roman" w:hAnsi="Times New Roman"/>
        </w:rPr>
        <w:t>3. Охранные зоны воздушных линий электропередачи</w:t>
      </w:r>
    </w:p>
    <w:p>
      <w:pPr>
        <w:pStyle w:val="Normal"/>
        <w:ind w:firstLine="567"/>
        <w:jc w:val="both"/>
        <w:rPr/>
      </w:pPr>
      <w:r>
        <w:rPr>
          <w:rFonts w:cs="Times New Roman" w:ascii="Times New Roman" w:hAnsi="Times New Roman"/>
        </w:rPr>
        <w:t>В целях защиты населения от воздействия электрического поля, создаваемого воздушными линиями электропередачи, и соблюдения особых условий использования земельных участков, расположенных в пределах охранных зон, обеспечивающих безопасное функционирование и эксплуатацию воздушных линий электропередачи, устанавливаются охранные зоны вдоль трассы высоковольтной линии, за пределами которых напряжённость электрического поля не превышает 1 кВ/м.</w:t>
      </w:r>
    </w:p>
    <w:p>
      <w:pPr>
        <w:pStyle w:val="Normal"/>
        <w:ind w:firstLine="567"/>
        <w:jc w:val="both"/>
        <w:rPr/>
      </w:pPr>
      <w:r>
        <w:rPr>
          <w:rFonts w:cs="Times New Roman" w:ascii="Times New Roman" w:hAnsi="Times New Roman"/>
        </w:rPr>
        <w:t xml:space="preserve">Размеры охранных зон воздушных линий электропередачи приняты в зависимости от их напряжения (кВ) 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 февраля 2009 г. № 160) </w:t>
      </w:r>
      <w:r>
        <w:rPr>
          <w:rFonts w:eastAsia="Calibri" w:cs="Times New Roman" w:ascii="Times New Roman" w:hAnsi="Times New Roman"/>
        </w:rPr>
        <w:t>с учетом требований СН 2971-84 «Санитарные нормы и правила защиты населения от воздействия электрического поля, создаваемого воздушными линиями электропередачи переменного тока промышленной частоты», МУ 4109-86 «Методические указания по определению электромагнитного поля воздушных высоковольтных линий электропередачи и гигиенические требования к их размещению»</w:t>
      </w:r>
      <w:r>
        <w:rPr>
          <w:rFonts w:cs="Times New Roman" w:ascii="Times New Roman" w:hAnsi="Times New Roman"/>
        </w:rPr>
        <w:t>.</w:t>
      </w:r>
    </w:p>
    <w:p>
      <w:pPr>
        <w:pStyle w:val="Normal"/>
        <w:ind w:firstLine="567"/>
        <w:jc w:val="both"/>
        <w:rPr/>
      </w:pPr>
      <w:r>
        <w:rPr>
          <w:rFonts w:cs="Times New Roman" w:ascii="Times New Roman" w:hAnsi="Times New Roman"/>
        </w:rPr>
        <w:t>4. Санитарно-защитные полосы магистральных водоводов</w:t>
      </w:r>
    </w:p>
    <w:p>
      <w:pPr>
        <w:pStyle w:val="Normal"/>
        <w:ind w:firstLine="567"/>
        <w:jc w:val="both"/>
        <w:rPr/>
      </w:pPr>
      <w:r>
        <w:rPr>
          <w:rFonts w:cs="Times New Roman" w:ascii="Times New Roman" w:hAnsi="Times New Roman"/>
        </w:rPr>
        <w:t>Санитарная охрана водоводов обеспечивается санитарно-защитной полосой.</w:t>
      </w:r>
    </w:p>
    <w:p>
      <w:pPr>
        <w:pStyle w:val="Normal"/>
        <w:ind w:firstLine="567"/>
        <w:jc w:val="both"/>
        <w:rPr/>
      </w:pPr>
      <w:r>
        <w:rPr>
          <w:rFonts w:cs="Times New Roman" w:ascii="Times New Roman" w:hAnsi="Times New Roman"/>
        </w:rPr>
        <w:t>В пределах санитарно-защитной полосы, соответственно её назначению, устанавливается специальный режим и определяется комплекс мероприятий, направленных на предупреждение ухудшения качества воды.</w:t>
      </w:r>
    </w:p>
    <w:p>
      <w:pPr>
        <w:pStyle w:val="Normal"/>
        <w:ind w:firstLine="567"/>
        <w:jc w:val="both"/>
        <w:rPr/>
      </w:pPr>
      <w:r>
        <w:rPr>
          <w:rFonts w:cs="Times New Roman" w:ascii="Times New Roman" w:hAnsi="Times New Roman"/>
        </w:rPr>
        <w:t>Санитарно-защитные полосы водоводов организуются на всех водоводах, вне зависимости от ведомственной принадлежности, подающих воду, как из поверхностных, так и из подземных источников.</w:t>
      </w:r>
    </w:p>
    <w:p>
      <w:pPr>
        <w:pStyle w:val="Normal"/>
        <w:ind w:firstLine="567"/>
        <w:jc w:val="both"/>
        <w:rPr/>
      </w:pPr>
      <w:r>
        <w:rPr>
          <w:rFonts w:cs="Times New Roman" w:ascii="Times New Roman" w:hAnsi="Times New Roman"/>
        </w:rPr>
        <w:t>Ширину санитарно-защитной полосы следует принимать по обе стороны от крайних линий водопровода:</w:t>
      </w:r>
    </w:p>
    <w:p>
      <w:pPr>
        <w:pStyle w:val="Normal"/>
        <w:ind w:firstLine="567"/>
        <w:jc w:val="both"/>
        <w:rPr/>
      </w:pPr>
      <w:r>
        <w:rPr>
          <w:rFonts w:cs="Times New Roman" w:ascii="Times New Roman" w:hAnsi="Times New Roman"/>
        </w:rPr>
        <w:t>а) при отсутствии грунтовых вод – не менее 10 м при диаметре водоводов до 1000 мм и не менее 20 м при диаметре водоводов более 1000 мм;</w:t>
      </w:r>
    </w:p>
    <w:p>
      <w:pPr>
        <w:pStyle w:val="Normal"/>
        <w:ind w:firstLine="567"/>
        <w:jc w:val="both"/>
        <w:rPr/>
      </w:pPr>
      <w:r>
        <w:rPr>
          <w:rFonts w:cs="Times New Roman" w:ascii="Times New Roman" w:hAnsi="Times New Roman"/>
        </w:rPr>
        <w:t>б) при наличии грунтовых вод – не менее 50 м вне зависимости от диаметра водоводов.</w:t>
      </w:r>
    </w:p>
    <w:p>
      <w:pPr>
        <w:pStyle w:val="Normal"/>
        <w:ind w:firstLine="567"/>
        <w:jc w:val="both"/>
        <w:rPr/>
      </w:pPr>
      <w:r>
        <w:rPr>
          <w:rFonts w:cs="Times New Roman" w:ascii="Times New Roman" w:hAnsi="Times New Roman"/>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pPr>
        <w:pStyle w:val="Normal"/>
        <w:ind w:firstLine="567"/>
        <w:jc w:val="both"/>
        <w:rPr/>
      </w:pPr>
      <w:r>
        <w:rPr>
          <w:rFonts w:cs="Times New Roman" w:ascii="Times New Roman" w:hAnsi="Times New Roman"/>
        </w:rPr>
        <w:t>Границы санитарно-защитных полос магистральных водоводов учтены в соответствии с СанПиН 2.1.4.1110-02 «Зоны санитарной охраны источников водоснабжения и водопроводов питьевого назначения» (в ред. от 25.09.2014).</w:t>
      </w:r>
    </w:p>
    <w:p>
      <w:pPr>
        <w:pStyle w:val="Normal"/>
        <w:ind w:firstLine="567"/>
        <w:jc w:val="both"/>
        <w:rPr/>
      </w:pPr>
      <w:r>
        <w:rPr>
          <w:rFonts w:cs="Times New Roman" w:ascii="Times New Roman" w:hAnsi="Times New Roman"/>
        </w:rPr>
        <w:t>5. Пояса зоны санитарной охраны водозаборов и водопроводных сооружений хозяйственно-питьевого назначения</w:t>
      </w:r>
    </w:p>
    <w:p>
      <w:pPr>
        <w:pStyle w:val="Normal"/>
        <w:ind w:firstLine="567"/>
        <w:jc w:val="both"/>
        <w:rPr/>
      </w:pPr>
      <w:r>
        <w:rPr>
          <w:rFonts w:cs="Times New Roman" w:ascii="Times New Roman" w:hAnsi="Times New Roman"/>
        </w:rPr>
        <w:t>Зоны санитарной охраны (далее – 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w:t>
      </w:r>
    </w:p>
    <w:p>
      <w:pPr>
        <w:pStyle w:val="Normal"/>
        <w:ind w:firstLine="567"/>
        <w:jc w:val="both"/>
        <w:rPr/>
      </w:pPr>
      <w:r>
        <w:rPr>
          <w:rFonts w:cs="Times New Roman" w:ascii="Times New Roman" w:hAnsi="Times New Roman"/>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 путём соблюдения санитарно-эпидемиологических требований к организации и эксплуатации зон санитарной охраны (ЗСО) источников водоснабжения и водопроводов питьевого назначения.</w:t>
      </w:r>
    </w:p>
    <w:p>
      <w:pPr>
        <w:pStyle w:val="Normal"/>
        <w:ind w:firstLine="567"/>
        <w:jc w:val="both"/>
        <w:rPr/>
      </w:pPr>
      <w:r>
        <w:rPr>
          <w:rFonts w:cs="Times New Roman" w:ascii="Times New Roman" w:hAnsi="Times New Roman"/>
        </w:rPr>
        <w:t>В каждом из поясов зоны санитарной охраны,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pPr>
        <w:pStyle w:val="Normal"/>
        <w:ind w:firstLine="567"/>
        <w:jc w:val="both"/>
        <w:rPr/>
      </w:pPr>
      <w:r>
        <w:rPr>
          <w:rFonts w:cs="Times New Roman" w:ascii="Times New Roman" w:hAnsi="Times New Roman"/>
        </w:rPr>
        <w:t>Организации ЗСО должна предшествовать разработка ее проекта, в который включаются:</w:t>
      </w:r>
    </w:p>
    <w:p>
      <w:pPr>
        <w:pStyle w:val="Normal"/>
        <w:ind w:firstLine="567"/>
        <w:jc w:val="both"/>
        <w:rPr/>
      </w:pPr>
      <w:r>
        <w:rPr>
          <w:rFonts w:cs="Times New Roman" w:ascii="Times New Roman" w:hAnsi="Times New Roman"/>
        </w:rPr>
        <w:t>а) определение границ зоны и составляющих ее поясов;</w:t>
      </w:r>
    </w:p>
    <w:p>
      <w:pPr>
        <w:pStyle w:val="Normal"/>
        <w:ind w:firstLine="567"/>
        <w:jc w:val="both"/>
        <w:rPr/>
      </w:pPr>
      <w:r>
        <w:rPr>
          <w:rFonts w:cs="Times New Roman" w:ascii="Times New Roman" w:hAnsi="Times New Roman"/>
        </w:rPr>
        <w:t>б) план мероприятий по улучшению санитарного состояния территории ЗСО и предупреждению загрязнения источника;</w:t>
      </w:r>
    </w:p>
    <w:p>
      <w:pPr>
        <w:pStyle w:val="Normal"/>
        <w:ind w:firstLine="567"/>
        <w:jc w:val="both"/>
        <w:rPr/>
      </w:pPr>
      <w:r>
        <w:rPr>
          <w:rFonts w:cs="Times New Roman" w:ascii="Times New Roman" w:hAnsi="Times New Roman"/>
        </w:rPr>
        <w:t>в) правила и режим хозяйственного использования территорий поясов ЗСО.</w:t>
      </w:r>
    </w:p>
    <w:p>
      <w:pPr>
        <w:pStyle w:val="Normal"/>
        <w:ind w:firstLine="567"/>
        <w:jc w:val="both"/>
        <w:rPr/>
      </w:pPr>
      <w:r>
        <w:rPr>
          <w:rFonts w:cs="Times New Roman" w:ascii="Times New Roman" w:hAnsi="Times New Roman"/>
        </w:rPr>
        <w:t>Проект ЗСО должен быть составной частью проекта хозяйственно-питьевого водоснабжения и разрабатываться одновременно с последним. Для действующих водопроводов, не имеющих установленных зон санитарной охраны, проект ЗСО разрабатывается специально.</w:t>
      </w:r>
    </w:p>
    <w:p>
      <w:pPr>
        <w:pStyle w:val="Normal"/>
        <w:ind w:firstLine="567"/>
        <w:jc w:val="both"/>
        <w:rPr/>
      </w:pPr>
      <w:r>
        <w:rPr>
          <w:rFonts w:cs="Times New Roman" w:ascii="Times New Roman" w:hAnsi="Times New Roman"/>
        </w:rPr>
        <w:t>Государственный санитарно-эпидемиологический надзор на территории ЗСО осуществляется органами и учреждениями государственной санитарно-эпидемиологической службы Российской Федерации путем разработки и контроля за проведением гигиенических и противоэпидемических мероприятий, согласования водоохранных мероприятий и контроля качества воды источника.</w:t>
      </w:r>
    </w:p>
    <w:p>
      <w:pPr>
        <w:pStyle w:val="Normal"/>
        <w:ind w:firstLine="567"/>
        <w:jc w:val="both"/>
        <w:rPr/>
      </w:pPr>
      <w:r>
        <w:rPr>
          <w:rFonts w:cs="Times New Roman" w:ascii="Times New Roman" w:hAnsi="Times New Roman"/>
        </w:rPr>
        <w:t>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СанПиН 2.1.4.1110-02.</w:t>
      </w:r>
    </w:p>
    <w:p>
      <w:pPr>
        <w:pStyle w:val="Normal"/>
        <w:ind w:firstLine="567"/>
        <w:jc w:val="both"/>
        <w:rPr/>
      </w:pPr>
      <w:r>
        <w:rPr>
          <w:rFonts w:cs="Times New Roman" w:ascii="Times New Roman" w:hAnsi="Times New Roman"/>
        </w:rPr>
        <w:t>6. Первый пояс зоны санитарной охраны водозаборов и водопроводных сооружений хозяйственно-питьевого назначения</w:t>
      </w:r>
    </w:p>
    <w:p>
      <w:pPr>
        <w:pStyle w:val="Normal"/>
        <w:ind w:firstLine="567"/>
        <w:jc w:val="both"/>
        <w:rPr/>
      </w:pPr>
      <w:r>
        <w:rPr>
          <w:rFonts w:cs="Times New Roman" w:ascii="Times New Roman" w:hAnsi="Times New Roman"/>
        </w:rPr>
        <w:t>Первый пояс ЗСО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Санитарные мероприятия должны выполняться органами коммунального хозяйства или другими владельцами водопроводов. Целью мероприятий является сохранение постоянства природного состава воды в водозаборе путём устранения и предупреждения возможности её загрязнения.</w:t>
      </w:r>
    </w:p>
    <w:p>
      <w:pPr>
        <w:pStyle w:val="Normal"/>
        <w:ind w:firstLine="567"/>
        <w:jc w:val="both"/>
        <w:rPr/>
      </w:pPr>
      <w:r>
        <w:rPr>
          <w:rFonts w:cs="Times New Roman" w:ascii="Times New Roman" w:hAnsi="Times New Roman"/>
        </w:rPr>
        <w:t>Граница первого пояса устанавливается на расстоянии не менее 30 м от водозабора – при использовании защищенных подземных вод – и на расстоянии не менее 50 м – при использовании недостаточно защищенных подземных вод. Граница первого пояса ЗСО группы подземных водозаборов должна находиться на расстоянии не менее 30 и 50 м от крайних скважин.</w:t>
      </w:r>
    </w:p>
    <w:p>
      <w:pPr>
        <w:pStyle w:val="Normal"/>
        <w:ind w:firstLine="567"/>
        <w:jc w:val="both"/>
        <w:rPr/>
      </w:pPr>
      <w:r>
        <w:rPr>
          <w:rFonts w:cs="Times New Roman" w:ascii="Times New Roman" w:hAnsi="Times New Roman"/>
        </w:rPr>
        <w:t>Для водозаборов из защищенных подземных вод, расположенных на территории объекта, исключающего возможность загрязнения почвы и подземных вод, размеры первого пояса ЗСО допускается сокращать при условии гидрогеологического обоснования по согласованию с центром государственного санитарно-эпидемиологического надзора.</w:t>
      </w:r>
    </w:p>
    <w:p>
      <w:pPr>
        <w:pStyle w:val="Normal"/>
        <w:ind w:firstLine="567"/>
        <w:jc w:val="both"/>
        <w:rPr/>
      </w:pPr>
      <w:r>
        <w:rPr>
          <w:rFonts w:cs="Times New Roman" w:ascii="Times New Roman" w:hAnsi="Times New Roman"/>
        </w:rPr>
        <w:t>Граница первого пояса ЗСО водопровода с поверхностным источником устанавливается, с учетом конкретных условий, в следующих пределах:</w:t>
      </w:r>
    </w:p>
    <w:p>
      <w:pPr>
        <w:pStyle w:val="Normal"/>
        <w:ind w:firstLine="567"/>
        <w:jc w:val="both"/>
        <w:rPr/>
      </w:pPr>
      <w:r>
        <w:rPr>
          <w:rFonts w:cs="Times New Roman" w:ascii="Times New Roman" w:hAnsi="Times New Roman"/>
        </w:rPr>
        <w:t>а) для водотоков:</w:t>
      </w:r>
    </w:p>
    <w:p>
      <w:pPr>
        <w:pStyle w:val="Normal"/>
        <w:ind w:firstLine="567"/>
        <w:jc w:val="both"/>
        <w:rPr/>
      </w:pPr>
      <w:r>
        <w:rPr>
          <w:rFonts w:cs="Times New Roman" w:ascii="Times New Roman" w:hAnsi="Times New Roman"/>
        </w:rPr>
        <w:t>вверх по течению – не менее 200 м от водозабора;</w:t>
      </w:r>
    </w:p>
    <w:p>
      <w:pPr>
        <w:pStyle w:val="Normal"/>
        <w:ind w:firstLine="567"/>
        <w:jc w:val="both"/>
        <w:rPr/>
      </w:pPr>
      <w:r>
        <w:rPr>
          <w:rFonts w:cs="Times New Roman" w:ascii="Times New Roman" w:hAnsi="Times New Roman"/>
        </w:rPr>
        <w:t>вниз по течению – не менее 100 м от водозабора;</w:t>
      </w:r>
    </w:p>
    <w:p>
      <w:pPr>
        <w:pStyle w:val="Normal"/>
        <w:ind w:firstLine="567"/>
        <w:jc w:val="both"/>
        <w:rPr/>
      </w:pPr>
      <w:r>
        <w:rPr>
          <w:rFonts w:cs="Times New Roman" w:ascii="Times New Roman" w:hAnsi="Times New Roman"/>
        </w:rPr>
        <w:t>по прилегающему к водозабору берегу – не менее 100 м от линии уреза воды летне-осенней межени;</w:t>
      </w:r>
    </w:p>
    <w:p>
      <w:pPr>
        <w:pStyle w:val="Normal"/>
        <w:ind w:firstLine="567"/>
        <w:jc w:val="both"/>
        <w:rPr/>
      </w:pPr>
      <w:r>
        <w:rPr>
          <w:rFonts w:cs="Times New Roman" w:ascii="Times New Roman" w:hAnsi="Times New Roman"/>
        </w:rPr>
        <w:t>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w:t>
      </w:r>
    </w:p>
    <w:p>
      <w:pPr>
        <w:pStyle w:val="Normal"/>
        <w:ind w:firstLine="567"/>
        <w:jc w:val="both"/>
        <w:rPr/>
      </w:pPr>
      <w:r>
        <w:rPr>
          <w:rFonts w:cs="Times New Roman" w:ascii="Times New Roman" w:hAnsi="Times New Roman"/>
        </w:rPr>
        <w:t>б)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w:t>
      </w:r>
    </w:p>
    <w:p>
      <w:pPr>
        <w:pStyle w:val="Normal"/>
        <w:ind w:firstLine="567"/>
        <w:jc w:val="both"/>
        <w:rPr/>
      </w:pPr>
      <w:r>
        <w:rPr>
          <w:rFonts w:cs="Times New Roman" w:ascii="Times New Roman" w:hAnsi="Times New Roman"/>
        </w:rPr>
        <w:t>На водозаборах ковшевого типа в пределы первого пояса ЗСО включается вся акватория ковша.</w:t>
      </w:r>
    </w:p>
    <w:p>
      <w:pPr>
        <w:pStyle w:val="Normal"/>
        <w:ind w:firstLine="567"/>
        <w:jc w:val="both"/>
        <w:rPr/>
      </w:pPr>
      <w:r>
        <w:rPr>
          <w:rFonts w:cs="Times New Roman" w:ascii="Times New Roman" w:hAnsi="Times New Roman"/>
        </w:rPr>
        <w:t>Границы первого пояса устанавливаются проектом ЗСО. Проект ЗСО должен быть составной частью проекта хозяйственно-питьевого водоснабжения и разрабатываться одновременно с последним. Для действующих водопроводов, не имеющих установленных зон санитарной охраны, проект ЗСО разрабатывается специально.</w:t>
      </w:r>
    </w:p>
    <w:p>
      <w:pPr>
        <w:pStyle w:val="Normal"/>
        <w:ind w:firstLine="567"/>
        <w:jc w:val="both"/>
        <w:rPr/>
      </w:pPr>
      <w:r>
        <w:rPr>
          <w:rFonts w:cs="Times New Roman" w:ascii="Times New Roman" w:hAnsi="Times New Roman"/>
        </w:rPr>
        <w:t>Установленные границы первого пояса ЗСО могут быть пересмотрены в случае возникших или предстоящих изменений эксплуатации источников водоснабжения (в том числе производительности водозаборов подземных вод) или местных санитарных условий по заключению заинтересованных организаций.</w:t>
      </w:r>
    </w:p>
    <w:p>
      <w:pPr>
        <w:pStyle w:val="Normal"/>
        <w:ind w:firstLine="567"/>
        <w:jc w:val="both"/>
        <w:rPr/>
      </w:pPr>
      <w:r>
        <w:rPr>
          <w:rFonts w:cs="Times New Roman" w:ascii="Times New Roman" w:hAnsi="Times New Roman"/>
        </w:rPr>
        <w:t>В графических материалах Правил границы первого пояса ЗСО показаны в соответствии с СанПиН 2.1.4.1110-02 «Зоны санитарной охраны источников водоснабжения и водопроводов питьевого назначения», границам функциональной зоны (включающей объект водоснабжения с его первым поясом ЗСО) и по ограждениям первого пояса зоны санитарной охраны существующих объектов водоснабжения.</w:t>
      </w:r>
    </w:p>
    <w:p>
      <w:pPr>
        <w:pStyle w:val="Normal"/>
        <w:ind w:firstLine="567"/>
        <w:jc w:val="both"/>
        <w:rPr/>
      </w:pPr>
      <w:r>
        <w:rPr>
          <w:rFonts w:cs="Times New Roman" w:ascii="Times New Roman" w:hAnsi="Times New Roman"/>
        </w:rPr>
        <w:t>Граница первого пояса ЗСО водопроводных сооружений принимается на расстоянии:</w:t>
      </w:r>
    </w:p>
    <w:p>
      <w:pPr>
        <w:pStyle w:val="Normal"/>
        <w:ind w:firstLine="567"/>
        <w:jc w:val="both"/>
        <w:rPr/>
      </w:pPr>
      <w:r>
        <w:rPr>
          <w:rFonts w:cs="Times New Roman" w:ascii="Times New Roman" w:hAnsi="Times New Roman"/>
        </w:rPr>
        <w:t>от стен запасных и регулирующих емкостей, фильтров и контактных осветлителей – не менее 30 м;</w:t>
      </w:r>
    </w:p>
    <w:p>
      <w:pPr>
        <w:pStyle w:val="Normal"/>
        <w:ind w:firstLine="567"/>
        <w:jc w:val="both"/>
        <w:rPr/>
      </w:pPr>
      <w:r>
        <w:rPr>
          <w:rFonts w:cs="Times New Roman" w:ascii="Times New Roman" w:hAnsi="Times New Roman"/>
        </w:rPr>
        <w:t>от водонапорных башен – не менее 10 м;</w:t>
      </w:r>
    </w:p>
    <w:p>
      <w:pPr>
        <w:pStyle w:val="Normal"/>
        <w:ind w:firstLine="567"/>
        <w:jc w:val="both"/>
        <w:rPr/>
      </w:pPr>
      <w:r>
        <w:rPr>
          <w:rFonts w:cs="Times New Roman" w:ascii="Times New Roman" w:hAnsi="Times New Roman"/>
        </w:rPr>
        <w:t>от остальных помещений (отстойники, реагентное хозяйство, склад хлора, насосные станции и др.) – не менее 15 м.</w:t>
      </w:r>
    </w:p>
    <w:p>
      <w:pPr>
        <w:pStyle w:val="Normal"/>
        <w:ind w:firstLine="567"/>
        <w:jc w:val="both"/>
        <w:rPr/>
      </w:pPr>
      <w:r>
        <w:rPr>
          <w:rFonts w:cs="Times New Roman" w:ascii="Times New Roman" w:hAnsi="Times New Roman"/>
        </w:rPr>
        <w:t>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 м.</w:t>
      </w:r>
    </w:p>
    <w:p>
      <w:pPr>
        <w:pStyle w:val="Normal"/>
        <w:ind w:firstLine="567"/>
        <w:jc w:val="both"/>
        <w:rPr/>
      </w:pPr>
      <w:r>
        <w:rPr>
          <w:rFonts w:cs="Times New Roman" w:ascii="Times New Roman" w:hAnsi="Times New Roman"/>
        </w:rPr>
        <w:t>7. Второй пояс зоны санитарной охраны водозаборов и водопроводных сооружений хозяйственно-питьевого назначения</w:t>
      </w:r>
    </w:p>
    <w:p>
      <w:pPr>
        <w:pStyle w:val="Normal"/>
        <w:ind w:firstLine="567"/>
        <w:jc w:val="both"/>
        <w:rPr/>
      </w:pPr>
      <w:r>
        <w:rPr>
          <w:rFonts w:cs="Times New Roman" w:ascii="Times New Roman" w:hAnsi="Times New Roman"/>
        </w:rPr>
        <w:t>Второй пояс ЗСО (пояс ограничений) включает территорию, предназначенную для предупреждения загрязнения воды источников водоснабжения.</w:t>
      </w:r>
    </w:p>
    <w:p>
      <w:pPr>
        <w:pStyle w:val="Normal"/>
        <w:ind w:firstLine="567"/>
        <w:jc w:val="both"/>
        <w:rPr/>
      </w:pPr>
      <w:r>
        <w:rPr>
          <w:rFonts w:cs="Times New Roman" w:ascii="Times New Roman" w:hAnsi="Times New Roman"/>
        </w:rPr>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pPr>
        <w:pStyle w:val="Normal"/>
        <w:ind w:firstLine="567"/>
        <w:jc w:val="both"/>
        <w:rPr/>
      </w:pPr>
      <w:r>
        <w:rPr>
          <w:rFonts w:cs="Times New Roman" w:ascii="Times New Roman" w:hAnsi="Times New Roman"/>
        </w:rPr>
        <w:t>Граница второго пояса на водотоке в целях микробного самоочищения должна быть удалена вверх по течению водозабора на столько, чтобы время пробега по основному водотоку и его притокам, при расходе воды в водотоке 95 % обеспеченности, было не менее 3-х суток (для климатического района, в котором находится Карачаево-Черкесская Республика).</w:t>
      </w:r>
    </w:p>
    <w:p>
      <w:pPr>
        <w:pStyle w:val="Normal"/>
        <w:ind w:firstLine="567"/>
        <w:jc w:val="both"/>
        <w:rPr/>
      </w:pPr>
      <w:r>
        <w:rPr>
          <w:rFonts w:cs="Times New Roman" w:ascii="Times New Roman" w:hAnsi="Times New Roman"/>
        </w:rPr>
        <w:t>Скорость движения воды в м/сутки принимается усредненной по ширине и длине водотока или для отдельных его участков при резких колебаниях скорости течения.</w:t>
      </w:r>
    </w:p>
    <w:p>
      <w:pPr>
        <w:pStyle w:val="Normal"/>
        <w:ind w:firstLine="567"/>
        <w:jc w:val="both"/>
        <w:rPr/>
      </w:pPr>
      <w:r>
        <w:rPr>
          <w:rFonts w:cs="Times New Roman" w:ascii="Times New Roman" w:hAnsi="Times New Roman"/>
        </w:rPr>
        <w:t>Граница второго пояса ЗСО водотока ниже по течению должна быть определена с учетом исключения влияния ветровых обратных течений, но не менее 250 м от водозабора.</w:t>
      </w:r>
    </w:p>
    <w:p>
      <w:pPr>
        <w:pStyle w:val="Normal"/>
        <w:ind w:firstLine="567"/>
        <w:jc w:val="both"/>
        <w:rPr/>
      </w:pPr>
      <w:bookmarkStart w:id="262" w:name="Par172"/>
      <w:bookmarkEnd w:id="262"/>
      <w:r>
        <w:rPr>
          <w:rFonts w:cs="Times New Roman" w:ascii="Times New Roman" w:hAnsi="Times New Roman"/>
        </w:rPr>
        <w:t>Боковые границы второго пояса ЗСО (при гористом рельефе местности) от уреза воды при летне-осенней межени должны быть расположены на расстоянии – до вершины первого склона, обращенного в сторону источника водоснабжения, но не менее 750 м при пологом склоне и не менее 1000 м при крутом.</w:t>
      </w:r>
    </w:p>
    <w:p>
      <w:pPr>
        <w:pStyle w:val="Normal"/>
        <w:ind w:firstLine="567"/>
        <w:jc w:val="both"/>
        <w:rPr/>
      </w:pPr>
      <w:r>
        <w:rPr>
          <w:rFonts w:cs="Times New Roman" w:ascii="Times New Roman" w:hAnsi="Times New Roman"/>
        </w:rPr>
        <w:t>Границы второго пояса устанавливаются проектом ЗСО. Проект ЗСО должен быть составной частью проекта хозяйственно-питьевого водоснабжения и разрабатываться одновременно с последним. Для действующих водопроводов, не имеющих установленных зон санитарной охраны, проект ЗСО разрабатывается специально.</w:t>
      </w:r>
    </w:p>
    <w:p>
      <w:pPr>
        <w:pStyle w:val="Normal"/>
        <w:ind w:firstLine="567"/>
        <w:jc w:val="both"/>
        <w:rPr/>
      </w:pPr>
      <w:r>
        <w:rPr>
          <w:rFonts w:cs="Times New Roman" w:ascii="Times New Roman" w:hAnsi="Times New Roman"/>
        </w:rPr>
        <w:t>Установленные границы ЗСО и составляющих её поясов могут быть пересмотрены в случае возникших или предстоящих изменений эксплуатации источников водоснабжения (в том числе производительности водозаборов подземных вод) или местных санитарных условий по заключению заинтересованных организаций.</w:t>
      </w:r>
    </w:p>
    <w:p>
      <w:pPr>
        <w:pStyle w:val="Normal"/>
        <w:ind w:firstLine="567"/>
        <w:jc w:val="both"/>
        <w:rPr/>
      </w:pPr>
      <w:r>
        <w:rPr>
          <w:rFonts w:cs="Times New Roman" w:ascii="Times New Roman" w:hAnsi="Times New Roman"/>
        </w:rPr>
        <w:t>В графических материалах Правил границы второго пояса ЗСО показаны в соответствии с СанПиН 2.1.4.1110-02 «Зоны санитарной охраны источников водоснабжения и водопроводов питьевого назначения».</w:t>
      </w:r>
    </w:p>
    <w:p>
      <w:pPr>
        <w:pStyle w:val="Normal"/>
        <w:ind w:firstLine="567"/>
        <w:jc w:val="both"/>
        <w:rPr/>
      </w:pPr>
      <w:r>
        <w:rPr>
          <w:rFonts w:cs="Times New Roman" w:ascii="Times New Roman" w:hAnsi="Times New Roman"/>
        </w:rPr>
        <w:t>8. Третий пояс зоны санитарной охраны водозаборов и водопроводных сооружений хозяйственно-питьевого назначения</w:t>
      </w:r>
    </w:p>
    <w:p>
      <w:pPr>
        <w:pStyle w:val="Normal"/>
        <w:ind w:firstLine="567"/>
        <w:jc w:val="both"/>
        <w:rPr/>
      </w:pPr>
      <w:r>
        <w:rPr>
          <w:rFonts w:cs="Times New Roman" w:ascii="Times New Roman" w:hAnsi="Times New Roman"/>
        </w:rPr>
        <w:t>Третий пояс ЗСО (пояс ограничений) предназначен для защиты водоносного пласта от химических загрязнений.</w:t>
      </w:r>
    </w:p>
    <w:p>
      <w:pPr>
        <w:pStyle w:val="Normal"/>
        <w:ind w:firstLine="567"/>
        <w:jc w:val="both"/>
        <w:rPr/>
      </w:pPr>
      <w:r>
        <w:rPr>
          <w:rFonts w:cs="Times New Roman" w:ascii="Times New Roman" w:hAnsi="Times New Roman"/>
        </w:rPr>
        <w:t>Границы третьего пояса ЗСО в настоящих Правилах (разработанных на основе проекта планировки территории) на водотоке вверх и вниз по течению совпадают с границами второго пояса. Боковые границы проходят по линии водоразделов в пределах 3-5 километров, включая притоки. Границы третьего пояса поверхностного источника на водоеме полностью совпадают с границами второго пояса.</w:t>
      </w:r>
    </w:p>
    <w:p>
      <w:pPr>
        <w:pStyle w:val="Normal"/>
        <w:ind w:firstLine="567"/>
        <w:jc w:val="both"/>
        <w:rPr/>
      </w:pPr>
      <w:r>
        <w:rPr>
          <w:rFonts w:cs="Times New Roman" w:ascii="Times New Roman" w:hAnsi="Times New Roman"/>
        </w:rPr>
        <w:t>9. Водоохранные зоны объектов водного фонда</w:t>
      </w:r>
    </w:p>
    <w:p>
      <w:pPr>
        <w:pStyle w:val="Normal"/>
        <w:ind w:firstLine="567"/>
        <w:jc w:val="both"/>
        <w:rPr/>
      </w:pPr>
      <w:r>
        <w:rPr>
          <w:rFonts w:cs="Times New Roman" w:ascii="Times New Roman" w:hAnsi="Times New Roman"/>
        </w:rPr>
        <w:t>Водоохранными зонами являются территории, которые примыкают к береговой линии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pPr>
        <w:pStyle w:val="Normal"/>
        <w:ind w:firstLine="567"/>
        <w:jc w:val="both"/>
        <w:rPr/>
      </w:pPr>
      <w:r>
        <w:rPr>
          <w:rFonts w:cs="Times New Roman" w:ascii="Times New Roman" w:hAnsi="Times New Roman"/>
        </w:rPr>
        <w:t>Соблюдение специального режима на территории водоохранных зон является составной частью комплекса природоохранных мер по улучшению гидрологического, гидрохимического, гидробиологического, санитарного и экологического состояния водных объектов и благоустройству их прибрежных территорий. Обеспечение рационального использования и охрана водных объектов осуществляются Кубанским бассейновым водным управлением, которое обеспечивает разработку рекомендаций в области использования и охраны водных объектов.</w:t>
      </w:r>
    </w:p>
    <w:p>
      <w:pPr>
        <w:pStyle w:val="Normal"/>
        <w:ind w:firstLine="567"/>
        <w:jc w:val="both"/>
        <w:rPr/>
      </w:pPr>
      <w:r>
        <w:rPr>
          <w:rFonts w:cs="Times New Roman" w:ascii="Times New Roman" w:hAnsi="Times New Roman"/>
        </w:rPr>
        <w:t>Документированные сведения о водоохранных зонах включаются в государственный водный реестр.</w:t>
      </w:r>
    </w:p>
    <w:p>
      <w:pPr>
        <w:pStyle w:val="Normal"/>
        <w:ind w:firstLine="567"/>
        <w:jc w:val="both"/>
        <w:rPr/>
      </w:pPr>
      <w:r>
        <w:rPr>
          <w:rFonts w:cs="Times New Roman" w:ascii="Times New Roman" w:hAnsi="Times New Roman"/>
        </w:rPr>
        <w:t>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соответствующей береговой линии.</w:t>
      </w:r>
    </w:p>
    <w:p>
      <w:pPr>
        <w:pStyle w:val="Normal"/>
        <w:ind w:firstLine="567"/>
        <w:jc w:val="both"/>
        <w:rPr/>
      </w:pPr>
      <w:r>
        <w:rPr>
          <w:rFonts w:cs="Times New Roman" w:ascii="Times New Roman" w:hAnsi="Times New Roman"/>
        </w:rPr>
        <w:t>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p>
    <w:p>
      <w:pPr>
        <w:pStyle w:val="Normal"/>
        <w:ind w:firstLine="567"/>
        <w:jc w:val="both"/>
        <w:rPr/>
      </w:pPr>
      <w:r>
        <w:rPr>
          <w:rFonts w:cs="Times New Roman" w:ascii="Times New Roman" w:hAnsi="Times New Roman"/>
        </w:rPr>
        <w:t>Водоохранные зоны рек, их частей, помещенных в закрытые коллекторы, не устанавливаются.</w:t>
      </w:r>
    </w:p>
    <w:p>
      <w:pPr>
        <w:pStyle w:val="Normal"/>
        <w:ind w:firstLine="567"/>
        <w:jc w:val="both"/>
        <w:rPr/>
      </w:pPr>
      <w:r>
        <w:rPr>
          <w:rFonts w:cs="Times New Roman" w:ascii="Times New Roman" w:hAnsi="Times New Roman"/>
        </w:rPr>
        <w:t>Для реки, ручья протяженностью менее десяти километров от истока до устья водоохранная зона совпадает с прибрежной защитной полосой.</w:t>
      </w:r>
    </w:p>
    <w:p>
      <w:pPr>
        <w:pStyle w:val="Normal"/>
        <w:ind w:firstLine="567"/>
        <w:jc w:val="both"/>
        <w:rPr/>
      </w:pPr>
      <w:r>
        <w:rPr>
          <w:rFonts w:cs="Times New Roman" w:ascii="Times New Roman" w:hAnsi="Times New Roman"/>
        </w:rPr>
        <w:t>На территориях планируемых туристических деревень при наличии централизованных ливневых систем водоотведения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pPr>
        <w:pStyle w:val="Normal"/>
        <w:ind w:firstLine="567"/>
        <w:jc w:val="both"/>
        <w:rPr/>
      </w:pPr>
      <w:r>
        <w:rPr>
          <w:rFonts w:cs="Times New Roman" w:ascii="Times New Roman" w:hAnsi="Times New Roman"/>
        </w:rPr>
        <w:t>В графических материалах настоящих Правил границы водоохранных зон учтены в соответствии с материалами проекта планировки территории.</w:t>
      </w:r>
      <w:r>
        <w:rPr>
          <w:rFonts w:cs="Times New Roman" w:ascii="Times New Roman" w:hAnsi="Times New Roman"/>
          <w:color w:val="FF0000"/>
        </w:rPr>
        <w:t xml:space="preserve"> </w:t>
      </w:r>
      <w:r>
        <w:rPr>
          <w:rFonts w:cs="Times New Roman" w:ascii="Times New Roman" w:hAnsi="Times New Roman"/>
        </w:rPr>
        <w:t>Границы водоохранных зон устанавливаются с учётом ст. 65 Водного Кодекса РФ от 03.06.2006 № 74-ФЗ в редакции от 28.06.2014 либо специализированным проектом (схемой комплексного использования и охраны водного объекта).</w:t>
      </w:r>
    </w:p>
    <w:p>
      <w:pPr>
        <w:pStyle w:val="Normal"/>
        <w:ind w:firstLine="567"/>
        <w:jc w:val="both"/>
        <w:rPr/>
      </w:pPr>
      <w:r>
        <w:rPr>
          <w:rFonts w:cs="Times New Roman" w:ascii="Times New Roman" w:hAnsi="Times New Roman"/>
        </w:rPr>
        <w:t>В пределах водоохранных зон устанавливаются прибрежные защитные полосы (раздел 7 настоящей статьи Правил). На их территориях вводятся дополнительные ограничения природопользования.</w:t>
      </w:r>
    </w:p>
    <w:p>
      <w:pPr>
        <w:pStyle w:val="Normal"/>
        <w:ind w:firstLine="567"/>
        <w:jc w:val="both"/>
        <w:rPr/>
      </w:pPr>
      <w:r>
        <w:rPr>
          <w:rFonts w:cs="Times New Roman" w:ascii="Times New Roman" w:hAnsi="Times New Roman"/>
        </w:rPr>
        <w:t>10. Прибрежные защитные полосы объектов водного фонда</w:t>
      </w:r>
    </w:p>
    <w:p>
      <w:pPr>
        <w:pStyle w:val="Normal"/>
        <w:ind w:firstLine="567"/>
        <w:jc w:val="both"/>
        <w:rPr/>
      </w:pPr>
      <w:r>
        <w:rPr>
          <w:rFonts w:cs="Times New Roman" w:ascii="Times New Roman" w:hAnsi="Times New Roman"/>
        </w:rPr>
        <w:t>Прибрежные защитные полосы устанавливаются в границах водоохранных зон. Для реки, ручья протяженностью менее десяти километров от истока до устья водоохранная зона совпадает с прибрежной защитной полосой. На территориях прибрежных защитных полос вводятся дополнительные ограничения хозяйственной и иной деятельности.</w:t>
      </w:r>
    </w:p>
    <w:p>
      <w:pPr>
        <w:pStyle w:val="Normal"/>
        <w:ind w:firstLine="567"/>
        <w:jc w:val="both"/>
        <w:rPr/>
      </w:pPr>
      <w:r>
        <w:rPr>
          <w:rFonts w:cs="Times New Roman" w:ascii="Times New Roman" w:hAnsi="Times New Roman"/>
        </w:rPr>
        <w:t>Прибрежной защитной полосой является территория, непосредственно примыкающая к акваториям поверхностных водных объектов, на которой устанавливается специальный режим хозяйственной и иных видов деятельности с целью предотвращения загрязнения, засорения, заиления и истощения водных объектов, а также сохранения среды обитания объектов животного и растительного мира.</w:t>
      </w:r>
    </w:p>
    <w:p>
      <w:pPr>
        <w:pStyle w:val="Normal"/>
        <w:ind w:firstLine="567"/>
        <w:jc w:val="both"/>
        <w:rPr/>
      </w:pPr>
      <w:r>
        <w:rPr>
          <w:rFonts w:cs="Times New Roman" w:ascii="Times New Roman" w:hAnsi="Times New Roman"/>
        </w:rPr>
        <w:t>Соблюдение специального режима на территории прибрежной защитной полосы является составной частью комплекса природоохранных мер по улучшению гидрологического, гидрохимического, гидробиологического, санитарного и экологического состояния водных объектов и благоустройству их прибрежных территорий. Обеспечение рационального использования и охрана водных объектов осуществляются Кубанским бассейновым водным управлением, которое обеспечивает разработку рекомендаций в области использования и охраны водных объектов.</w:t>
      </w:r>
    </w:p>
    <w:p>
      <w:pPr>
        <w:pStyle w:val="Normal"/>
        <w:ind w:firstLine="567"/>
        <w:jc w:val="both"/>
        <w:rPr/>
      </w:pPr>
      <w:r>
        <w:rPr>
          <w:rFonts w:cs="Times New Roman" w:ascii="Times New Roman" w:hAnsi="Times New Roman"/>
        </w:rPr>
        <w:t>Документированные сведения о прибрежных защитных полосах включаются в государственный водный реестр.</w:t>
      </w:r>
    </w:p>
    <w:p>
      <w:pPr>
        <w:pStyle w:val="Normal"/>
        <w:ind w:firstLine="567"/>
        <w:jc w:val="both"/>
        <w:rPr/>
      </w:pPr>
      <w:r>
        <w:rPr>
          <w:rFonts w:cs="Times New Roman" w:ascii="Times New Roman" w:hAnsi="Times New Roman"/>
        </w:rPr>
        <w:t>Размеры прибрежных защитных полос определяются в зависимости от местных орографических условий (уклона прилегающей к урезу воды прибрежной поверхности) и характера землепользования. Границы прибрежных защитных полос в Правилах приняты в соответствии с материалами проекта планировки. Границы прибрежных защитных полос устанавливаются ст. 65 Водного Кодекса РФ от 03.06.2006 № 74-ФЗ в редакции от 28.06.2014 либо специализированным проектом (схемой комплексного использования и охраны водного объекта).</w:t>
      </w:r>
    </w:p>
    <w:p>
      <w:pPr>
        <w:pStyle w:val="Normal"/>
        <w:ind w:firstLine="567"/>
        <w:jc w:val="both"/>
        <w:rPr/>
      </w:pPr>
      <w:r>
        <w:rPr>
          <w:rFonts w:cs="Times New Roman" w:ascii="Times New Roman" w:hAnsi="Times New Roman"/>
        </w:rPr>
        <w:t>11. Береговые полосы объектов водного фонда</w:t>
      </w:r>
    </w:p>
    <w:p>
      <w:pPr>
        <w:pStyle w:val="Normal"/>
        <w:ind w:firstLine="567"/>
        <w:jc w:val="both"/>
        <w:rPr/>
      </w:pPr>
      <w:r>
        <w:rPr>
          <w:rFonts w:cs="Times New Roman" w:ascii="Times New Roman" w:hAnsi="Times New Roman"/>
        </w:rPr>
        <w:t>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pPr>
        <w:pStyle w:val="Normal"/>
        <w:ind w:firstLine="567"/>
        <w:jc w:val="both"/>
        <w:rPr/>
      </w:pPr>
      <w:r>
        <w:rPr>
          <w:rFonts w:cs="Times New Roman" w:ascii="Times New Roman" w:hAnsi="Times New Roman"/>
        </w:rPr>
        <w:t>Береговая полоса болот, ледников, снежников, природных выходов подземных вод (родников, гейзеров) и иных предусмотренных федеральными законами водных объектов не определяется.</w:t>
      </w:r>
    </w:p>
    <w:p>
      <w:pPr>
        <w:pStyle w:val="Normal"/>
        <w:ind w:firstLine="567"/>
        <w:jc w:val="both"/>
        <w:rPr/>
      </w:pPr>
      <w:r>
        <w:rPr>
          <w:rFonts w:cs="Times New Roman" w:ascii="Times New Roman" w:hAnsi="Times New Roman"/>
        </w:rPr>
        <w:t>Границы береговых полос устанавливаются ч. 6 ст. 6 Водного Кодекса РФ от 03.06.2006 № 74-ФЗ в редакции от 28.06.2014 либо специализированным проектом (схемой комплексного использования и охраны водного объекта).</w:t>
      </w:r>
    </w:p>
    <w:p>
      <w:pPr>
        <w:pStyle w:val="Normal"/>
        <w:ind w:firstLine="567"/>
        <w:jc w:val="both"/>
        <w:rPr>
          <w:rFonts w:ascii="Times New Roman" w:hAnsi="Times New Roman" w:cs="Times New Roman"/>
        </w:rPr>
      </w:pPr>
      <w:r>
        <w:rPr>
          <w:rFonts w:cs="Times New Roman" w:ascii="Times New Roman" w:hAnsi="Times New Roman"/>
        </w:rPr>
      </w:r>
    </w:p>
    <w:p>
      <w:pPr>
        <w:pStyle w:val="2"/>
        <w:numPr>
          <w:ilvl w:val="0"/>
          <w:numId w:val="0"/>
        </w:numPr>
        <w:jc w:val="both"/>
        <w:rPr/>
      </w:pPr>
      <w:bookmarkStart w:id="263" w:name="_Toc236033106"/>
      <w:bookmarkStart w:id="264" w:name="_Toc255997022"/>
      <w:bookmarkStart w:id="265" w:name="_Toc344286780"/>
      <w:bookmarkStart w:id="266" w:name="_Toc424230668"/>
      <w:bookmarkEnd w:id="263"/>
      <w:bookmarkEnd w:id="264"/>
      <w:bookmarkEnd w:id="265"/>
      <w:bookmarkEnd w:id="266"/>
      <w:r>
        <w:rPr>
          <w:rFonts w:cs="Times New Roman"/>
          <w:szCs w:val="24"/>
        </w:rPr>
        <w:t>Глава 8. Градостроительные режимы в зонах с особыми условиями использования территорий</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67" w:name="_Toc344286783"/>
      <w:bookmarkStart w:id="268" w:name="_Toc424230669"/>
      <w:bookmarkStart w:id="269" w:name="_Toc255997024"/>
      <w:r>
        <w:rPr>
          <w:rFonts w:cs="Times New Roman"/>
          <w:szCs w:val="24"/>
        </w:rPr>
        <w:t xml:space="preserve">Статья 32. </w:t>
      </w:r>
      <w:bookmarkEnd w:id="267"/>
      <w:bookmarkEnd w:id="268"/>
      <w:bookmarkEnd w:id="269"/>
      <w:r>
        <w:rPr>
          <w:rFonts w:cs="Times New Roman"/>
          <w:szCs w:val="24"/>
        </w:rPr>
        <w:t>Градостроительные режимы использования территорий в зонах, формируемых санитарными и экологическими требованиями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Использование земельных участков и иных объектов недвижимости, расположенных в пределах зон, обозначенных на схемах, приведенных в составе графических приложений настоящих Правил, определяется градостроительными режимами соответствующих территориальных зон с учетом режимов в зонах с особыми условиями использования территорий.</w:t>
      </w:r>
    </w:p>
    <w:p>
      <w:pPr>
        <w:pStyle w:val="Normal"/>
        <w:ind w:firstLine="567"/>
        <w:jc w:val="both"/>
        <w:rPr/>
      </w:pPr>
      <w:r>
        <w:rPr>
          <w:rFonts w:cs="Times New Roman" w:ascii="Times New Roman" w:hAnsi="Times New Roman"/>
        </w:rPr>
        <w:t>2. Земельные участки и иные объекты недвижимости, чьи характеристики не соответствуют разрешенным видам использования или параметрам, установленным законами, иными нормативными правовыми актами применительно к зонам с особыми условиями использования территорий, являются объектами недвижимости, не соответствующими градостроительному режиму настоящих Правил.</w:t>
      </w:r>
    </w:p>
    <w:p>
      <w:pPr>
        <w:pStyle w:val="Normal"/>
        <w:ind w:firstLine="567"/>
        <w:jc w:val="both"/>
        <w:rPr/>
      </w:pPr>
      <w:r>
        <w:rPr>
          <w:rFonts w:cs="Times New Roman" w:ascii="Times New Roman" w:hAnsi="Times New Roman"/>
        </w:rPr>
        <w:t>3. Ограничения использования земельных участков и иных объектов недвижимости, расположенных в зонах с особыми условиями использования территорий, установлены в соответствии с действующим законодательством Российской Федерации и решениями проекта планировки.</w:t>
      </w:r>
    </w:p>
    <w:p>
      <w:pPr>
        <w:pStyle w:val="Normal"/>
        <w:ind w:firstLine="567"/>
        <w:jc w:val="both"/>
        <w:rPr/>
      </w:pPr>
      <w:r>
        <w:rPr>
          <w:rFonts w:cs="Times New Roman" w:ascii="Times New Roman" w:hAnsi="Times New Roman"/>
        </w:rPr>
        <w:t>4. Градостроительные режимы использования территорий в санитарно-защитных зонах и санитарных разрывах</w:t>
      </w:r>
    </w:p>
    <w:p>
      <w:pPr>
        <w:pStyle w:val="Normal"/>
        <w:ind w:firstLine="567"/>
        <w:jc w:val="both"/>
        <w:rPr/>
      </w:pPr>
      <w:r>
        <w:rPr>
          <w:rFonts w:cs="Times New Roman" w:ascii="Times New Roman" w:hAnsi="Times New Roman"/>
        </w:rPr>
        <w:t>4.1. Условия использования и содержания территорий</w:t>
      </w:r>
    </w:p>
    <w:p>
      <w:pPr>
        <w:pStyle w:val="Normal"/>
        <w:ind w:firstLine="567"/>
        <w:jc w:val="both"/>
        <w:rPr/>
      </w:pPr>
      <w:r>
        <w:rPr>
          <w:rFonts w:cs="Times New Roman" w:ascii="Times New Roman" w:hAnsi="Times New Roman"/>
        </w:rPr>
        <w:t>В границах санитарно-защитной зоны объекта или производства допускается размещать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pPr>
        <w:pStyle w:val="Normal"/>
        <w:ind w:firstLine="567"/>
        <w:jc w:val="both"/>
        <w:rPr/>
      </w:pPr>
      <w:r>
        <w:rPr>
          <w:rFonts w:cs="Times New Roman" w:ascii="Times New Roman" w:hAnsi="Times New Roman"/>
        </w:rPr>
        <w:t>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pPr>
        <w:pStyle w:val="Normal"/>
        <w:ind w:firstLine="567"/>
        <w:jc w:val="both"/>
        <w:rPr/>
      </w:pPr>
      <w:r>
        <w:rPr>
          <w:rFonts w:cs="Times New Roman" w:ascii="Times New Roman" w:hAnsi="Times New Roman"/>
        </w:rPr>
        <w:t>При размещении объектов IV, V классов опасности, не требующих интенсивного движения грузового автотранспорта, преимущество должно быть отдано наиболее удалённым от рекреационной зоны и зоны проживания туристов территориям.</w:t>
      </w:r>
    </w:p>
    <w:p>
      <w:pPr>
        <w:pStyle w:val="Normal"/>
        <w:ind w:firstLine="567"/>
        <w:jc w:val="both"/>
        <w:rPr/>
      </w:pPr>
      <w:r>
        <w:rPr>
          <w:rFonts w:cs="Times New Roman" w:ascii="Times New Roman" w:hAnsi="Times New Roman"/>
        </w:rPr>
        <w:t>Для гаражей закрытого типа со сплошным стеновым ограждением I – II степеней огнестойкости СЗЗ допускается сокращать на 25 % при отсутствии в гаражах открывающихся окон, а также въездов, ориентированных в сторону жилых и общественных зданий.</w:t>
      </w:r>
    </w:p>
    <w:p>
      <w:pPr>
        <w:pStyle w:val="Normal"/>
        <w:ind w:firstLine="567"/>
        <w:jc w:val="both"/>
        <w:rPr/>
      </w:pPr>
      <w:r>
        <w:rPr>
          <w:rFonts w:cs="Times New Roman" w:ascii="Times New Roman" w:hAnsi="Times New Roman"/>
        </w:rPr>
        <w:t>Выезд из гаражей и автостоянок вместимостью свыше 50 машино-мест должен быть организован на транспортную магистраль, минуя проезды внутреннего пользования и основные пути движения пешеходов.</w:t>
      </w:r>
    </w:p>
    <w:p>
      <w:pPr>
        <w:pStyle w:val="Normal"/>
        <w:ind w:firstLine="567"/>
        <w:jc w:val="both"/>
        <w:rPr/>
      </w:pPr>
      <w:r>
        <w:rPr>
          <w:rFonts w:cs="Times New Roman" w:ascii="Times New Roman" w:hAnsi="Times New Roman"/>
        </w:rPr>
        <w:t>Минимальное расстояние от въездов-выездов и от вентиляционных шахт подземных гаражей до рекреационных зон и зон проживания туристов должно составлять не менее 15 метров.</w:t>
      </w:r>
    </w:p>
    <w:p>
      <w:pPr>
        <w:pStyle w:val="Normal"/>
        <w:ind w:firstLine="567"/>
        <w:jc w:val="both"/>
        <w:rPr/>
      </w:pPr>
      <w:r>
        <w:rPr>
          <w:rFonts w:cs="Times New Roman" w:ascii="Times New Roman" w:hAnsi="Times New Roman"/>
        </w:rPr>
        <w:t>Разрешена организация дополнительных озеленённых площадей, обеспечивающих экранирование, ассимиляцию и фильтрацию загрязнителей атмосферного воздуха, повышение комфортности микроклимата.</w:t>
      </w:r>
    </w:p>
    <w:p>
      <w:pPr>
        <w:pStyle w:val="Normal"/>
        <w:ind w:firstLine="567"/>
        <w:jc w:val="both"/>
        <w:rPr/>
      </w:pPr>
      <w:r>
        <w:rPr>
          <w:rFonts w:cs="Times New Roman" w:ascii="Times New Roman" w:hAnsi="Times New Roman"/>
        </w:rPr>
        <w:t>Требуется последовательная проработка территориальной организации, озеленения и благоустройства СЗЗ на всех этапах разработки всех видов градостроительной, предпроектной и проектной документации, строительства и эксплуатации отдельного объекта либо группы объектов.</w:t>
      </w:r>
    </w:p>
    <w:p>
      <w:pPr>
        <w:pStyle w:val="Normal"/>
        <w:ind w:firstLine="567"/>
        <w:jc w:val="both"/>
        <w:rPr/>
      </w:pPr>
      <w:r>
        <w:rPr>
          <w:rFonts w:cs="Times New Roman" w:ascii="Times New Roman" w:hAnsi="Times New Roman"/>
        </w:rPr>
        <w:t>При санитарно-защитной зоне между производством и границей рекреационной зоны и зоны проживания туристов в 50 м и 100 м ширина проезжей части автомагистрали не может рассматриваться как составляющая требуемого размера СЗЗ и являться основанием для снижения процента озеленения. При наличии автомагистрали в СЗЗ её выбросы включаются в суммарный расчёт с объектом.</w:t>
      </w:r>
    </w:p>
    <w:p>
      <w:pPr>
        <w:pStyle w:val="Normal"/>
        <w:ind w:firstLine="567"/>
        <w:jc w:val="both"/>
        <w:rPr/>
      </w:pPr>
      <w:r>
        <w:rPr>
          <w:rFonts w:cs="Times New Roman" w:ascii="Times New Roman" w:hAnsi="Times New Roman"/>
        </w:rPr>
        <w:t>Из озеленённых территорий общего пользования на территории СЗЗ разрешены только скверы у административных зданий, проходных производственных и коммунальных объектов для кратковременного отдыха.</w:t>
      </w:r>
    </w:p>
    <w:p>
      <w:pPr>
        <w:pStyle w:val="Normal"/>
        <w:ind w:firstLine="567"/>
        <w:jc w:val="both"/>
        <w:rPr/>
      </w:pPr>
      <w:r>
        <w:rPr>
          <w:rFonts w:cs="Times New Roman" w:ascii="Times New Roman" w:hAnsi="Times New Roman"/>
        </w:rPr>
        <w:t>Разрешены сельскохозяйственные угодья для выращивания технических культур, не используемых для производства продуктов питания.</w:t>
      </w:r>
    </w:p>
    <w:p>
      <w:pPr>
        <w:pStyle w:val="Normal"/>
        <w:ind w:firstLine="567"/>
        <w:jc w:val="both"/>
        <w:rPr/>
      </w:pPr>
      <w:r>
        <w:rPr>
          <w:rFonts w:cs="Times New Roman" w:ascii="Times New Roman" w:hAnsi="Times New Roman"/>
        </w:rPr>
        <w:t>Растениеводство и животноводство, выпас скота – по согласованию с органами Роспотребнадзора. Обязателен контроль качества пахотных земель (огородов), земель и растительности сенокосов и пастбищ.</w:t>
      </w:r>
    </w:p>
    <w:p>
      <w:pPr>
        <w:pStyle w:val="Normal"/>
        <w:ind w:firstLine="567"/>
        <w:jc w:val="both"/>
        <w:rPr/>
      </w:pPr>
      <w:r>
        <w:rPr>
          <w:rFonts w:cs="Times New Roman" w:ascii="Times New Roman" w:hAnsi="Times New Roman"/>
        </w:rPr>
        <w:t>4.2. Запрещённые виды использования территорий</w:t>
      </w:r>
    </w:p>
    <w:p>
      <w:pPr>
        <w:pStyle w:val="Normal"/>
        <w:ind w:firstLine="567"/>
        <w:jc w:val="both"/>
        <w:rPr/>
      </w:pPr>
      <w:r>
        <w:rPr>
          <w:rFonts w:cs="Times New Roman" w:ascii="Times New Roman" w:hAnsi="Times New Roman"/>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коттеджной застройки, коллективных или индивидуальных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pPr>
        <w:pStyle w:val="Normal"/>
        <w:ind w:firstLine="567"/>
        <w:jc w:val="both"/>
        <w:rPr/>
      </w:pPr>
      <w:r>
        <w:rPr>
          <w:rFonts w:cs="Times New Roman" w:ascii="Times New Roman" w:hAnsi="Times New Roman"/>
        </w:rPr>
        <w:t>Не допускается размещение во внутриквартальной застройке туристических деревень автостоянок вместимостью более 50 машино-мест.</w:t>
      </w:r>
    </w:p>
    <w:p>
      <w:pPr>
        <w:pStyle w:val="Normal"/>
        <w:ind w:firstLine="567"/>
        <w:jc w:val="both"/>
        <w:rPr/>
      </w:pPr>
      <w:r>
        <w:rPr>
          <w:rFonts w:cs="Times New Roman" w:ascii="Times New Roman" w:hAnsi="Times New Roman"/>
        </w:rPr>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pPr>
        <w:pStyle w:val="Normal"/>
        <w:ind w:firstLine="567"/>
        <w:jc w:val="both"/>
        <w:rPr/>
      </w:pPr>
      <w:r>
        <w:rPr>
          <w:rFonts w:cs="Times New Roman" w:ascii="Times New Roman" w:hAnsi="Times New Roman"/>
        </w:rPr>
        <w:t>Автомагистраль, расположенная в санитарно-защитной зоне объекта и производства или прилегающая к санитарно-защитной зоне, не входит в ее размер, а выбросы автомагистрали учитываются в фоновом загрязнении при обосновании размера санитарно-защитной зоны.</w:t>
      </w:r>
    </w:p>
    <w:p>
      <w:pPr>
        <w:pStyle w:val="Normal"/>
        <w:ind w:firstLine="567"/>
        <w:jc w:val="both"/>
        <w:rPr/>
      </w:pPr>
      <w:r>
        <w:rPr>
          <w:rFonts w:cs="Times New Roman" w:ascii="Times New Roman" w:hAnsi="Times New Roman"/>
        </w:rPr>
        <w:t>Временное сокращение объема производства не является основанием к пересмотру принятого размера санитарно-защитной зоны для максимальной проектной или фактически достигнутой мощности.</w:t>
      </w:r>
    </w:p>
    <w:p>
      <w:pPr>
        <w:pStyle w:val="Normal"/>
        <w:ind w:firstLine="567"/>
        <w:jc w:val="both"/>
        <w:rPr/>
      </w:pPr>
      <w:r>
        <w:rPr>
          <w:rFonts w:cs="Times New Roman" w:ascii="Times New Roman" w:hAnsi="Times New Roman"/>
        </w:rPr>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pPr>
        <w:pStyle w:val="Normal"/>
        <w:ind w:firstLine="567"/>
        <w:jc w:val="both"/>
        <w:rPr/>
      </w:pPr>
      <w:r>
        <w:rPr>
          <w:rFonts w:cs="Times New Roman" w:ascii="Times New Roman" w:hAnsi="Times New Roman"/>
        </w:rPr>
        <w:t>5. Градостроительные режимы использования территорий в охранных зонах газопроводов распределительной сети</w:t>
      </w:r>
    </w:p>
    <w:p>
      <w:pPr>
        <w:pStyle w:val="Normal"/>
        <w:ind w:firstLine="567"/>
        <w:jc w:val="both"/>
        <w:rPr/>
      </w:pPr>
      <w:r>
        <w:rPr>
          <w:rFonts w:cs="Times New Roman" w:ascii="Times New Roman" w:hAnsi="Times New Roman"/>
        </w:rPr>
        <w:t>Охранная зона газораспределительной сети – территория с особыми условиями использования, устанавливаемая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pPr>
        <w:pStyle w:val="Normal"/>
        <w:ind w:firstLine="567"/>
        <w:jc w:val="both"/>
        <w:rPr/>
      </w:pPr>
      <w:r>
        <w:rPr>
          <w:rFonts w:cs="Times New Roman" w:ascii="Times New Roman" w:hAnsi="Times New Roman"/>
        </w:rPr>
        <w:t>В соответствии с законодательством Российской Федерации газораспределительные сети относятся к категории опасных производственных объектов, что обусловлено взрыво- и пожароопасными свойствами транспортируемого по ним газа. Основы безопасной эксплуатации газораспределительных сетей определены Федеральным законом «О промышленной безопасности опасных производственных объектов».</w:t>
      </w:r>
    </w:p>
    <w:p>
      <w:pPr>
        <w:pStyle w:val="Normal"/>
        <w:ind w:firstLine="567"/>
        <w:jc w:val="both"/>
        <w:rPr/>
      </w:pPr>
      <w:r>
        <w:rPr>
          <w:rFonts w:cs="Times New Roman" w:ascii="Times New Roman" w:hAnsi="Times New Roman"/>
        </w:rPr>
        <w:t>Любые работы в охранных зонах газораспределительных сетей производятся при строгом выполнении требований по сохранности вскрываемых сетей и других инженерных коммуникаций, а также по осуществлению безопасного проезда специального автотранспорта и прохода пешеходов.</w:t>
      </w:r>
    </w:p>
    <w:p>
      <w:pPr>
        <w:pStyle w:val="Normal"/>
        <w:ind w:firstLine="567"/>
        <w:jc w:val="both"/>
        <w:rPr/>
      </w:pPr>
      <w:r>
        <w:rPr>
          <w:rFonts w:cs="Times New Roman" w:ascii="Times New Roman" w:hAnsi="Times New Roman"/>
        </w:rPr>
        <w:t>Исполнительная съемка газораспределительных сетей и границ их охранных зон выполняется в единой государственной или местной системах координат и оформляется в установленном порядке. Организации – собственники газораспределительных сетей или эксплуатационные организации обязаны включать материалы исполнительной съемки в состав материалов по межеванию границ охранных зон, которые передаются органам, осуществляющим ведение государственного земельного кадастра.</w:t>
      </w:r>
    </w:p>
    <w:p>
      <w:pPr>
        <w:pStyle w:val="Normal"/>
        <w:ind w:firstLine="567"/>
        <w:jc w:val="both"/>
        <w:rPr/>
      </w:pPr>
      <w:r>
        <w:rPr>
          <w:rFonts w:cs="Times New Roman" w:ascii="Times New Roman" w:hAnsi="Times New Roman"/>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 объекты жилищно-гражданского и производственного назначения, объекты инженерной, транспортной и социальной инфраструктуры, либо осуществляющим в границах указанных земельных участков любую хозяйственную деятельность:</w:t>
      </w:r>
    </w:p>
    <w:p>
      <w:pPr>
        <w:pStyle w:val="Normal"/>
        <w:ind w:firstLine="567"/>
        <w:jc w:val="both"/>
        <w:rPr/>
      </w:pPr>
      <w:r>
        <w:rPr>
          <w:rFonts w:cs="Times New Roman" w:ascii="Times New Roman" w:hAnsi="Times New Roman"/>
        </w:rPr>
        <w:t>а) строить объекты жилищно-гражданского и производственного назначения;</w:t>
      </w:r>
    </w:p>
    <w:p>
      <w:pPr>
        <w:pStyle w:val="Normal"/>
        <w:ind w:firstLine="567"/>
        <w:jc w:val="both"/>
        <w:rPr/>
      </w:pPr>
      <w:r>
        <w:rPr>
          <w:rFonts w:cs="Times New Roman" w:ascii="Times New Roman" w:hAnsi="Times New Roman"/>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pPr>
        <w:pStyle w:val="Normal"/>
        <w:ind w:firstLine="567"/>
        <w:jc w:val="both"/>
        <w:rPr/>
      </w:pPr>
      <w:r>
        <w:rPr>
          <w:rFonts w:cs="Times New Roman" w:ascii="Times New Roman" w:hAnsi="Times New Roman"/>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pPr>
        <w:pStyle w:val="Normal"/>
        <w:ind w:firstLine="567"/>
        <w:jc w:val="both"/>
        <w:rPr/>
      </w:pPr>
      <w:r>
        <w:rPr>
          <w:rFonts w:cs="Times New Roman" w:ascii="Times New Roman" w:hAnsi="Times New Roman"/>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pPr>
        <w:pStyle w:val="Normal"/>
        <w:ind w:firstLine="567"/>
        <w:jc w:val="both"/>
        <w:rPr/>
      </w:pPr>
      <w:r>
        <w:rPr>
          <w:rFonts w:cs="Times New Roman" w:ascii="Times New Roman" w:hAnsi="Times New Roman"/>
        </w:rPr>
        <w:t>д) устраивать свалки и склады, разливать растворы кислот, солей, щелочей и других химически активных веществ;</w:t>
      </w:r>
    </w:p>
    <w:p>
      <w:pPr>
        <w:pStyle w:val="Normal"/>
        <w:ind w:firstLine="567"/>
        <w:jc w:val="both"/>
        <w:rPr/>
      </w:pPr>
      <w:r>
        <w:rPr>
          <w:rFonts w:cs="Times New Roman" w:ascii="Times New Roman" w:hAnsi="Times New Roman"/>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pPr>
        <w:pStyle w:val="Normal"/>
        <w:ind w:firstLine="567"/>
        <w:jc w:val="both"/>
        <w:rPr/>
      </w:pPr>
      <w:r>
        <w:rPr>
          <w:rFonts w:cs="Times New Roman" w:ascii="Times New Roman" w:hAnsi="Times New Roman"/>
        </w:rPr>
        <w:t>ж) разводить огонь и размещать источники огня;</w:t>
      </w:r>
    </w:p>
    <w:p>
      <w:pPr>
        <w:pStyle w:val="Normal"/>
        <w:ind w:firstLine="567"/>
        <w:jc w:val="both"/>
        <w:rPr/>
      </w:pPr>
      <w:r>
        <w:rPr>
          <w:rFonts w:cs="Times New Roman" w:ascii="Times New Roman" w:hAnsi="Times New Roman"/>
        </w:rPr>
        <w:t>з) рыть погреба, копать и обрабатывать почву сельскохозяйственными и мелиоративными орудиями и механизмами на глубину более 0,3 метра;</w:t>
      </w:r>
    </w:p>
    <w:p>
      <w:pPr>
        <w:pStyle w:val="Normal"/>
        <w:ind w:firstLine="567"/>
        <w:jc w:val="both"/>
        <w:rPr/>
      </w:pPr>
      <w:r>
        <w:rPr>
          <w:rFonts w:cs="Times New Roman" w:ascii="Times New Roman" w:hAnsi="Times New Roman"/>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pPr>
        <w:pStyle w:val="Normal"/>
        <w:ind w:firstLine="567"/>
        <w:jc w:val="both"/>
        <w:rPr/>
      </w:pPr>
      <w:r>
        <w:rPr>
          <w:rFonts w:cs="Times New Roman" w:ascii="Times New Roman" w:hAnsi="Times New Roman"/>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pPr>
        <w:pStyle w:val="Normal"/>
        <w:ind w:firstLine="567"/>
        <w:jc w:val="both"/>
        <w:rPr/>
      </w:pPr>
      <w:r>
        <w:rPr>
          <w:rFonts w:cs="Times New Roman" w:ascii="Times New Roman" w:hAnsi="Times New Roman"/>
        </w:rPr>
        <w:t>л) самовольно подключаться к газораспределительным сетям.</w:t>
      </w:r>
    </w:p>
    <w:p>
      <w:pPr>
        <w:pStyle w:val="Normal"/>
        <w:ind w:firstLine="567"/>
        <w:jc w:val="both"/>
        <w:rPr/>
      </w:pPr>
      <w:r>
        <w:rPr>
          <w:rFonts w:cs="Times New Roman" w:ascii="Times New Roman" w:hAnsi="Times New Roman"/>
        </w:rPr>
        <w:t>Утверждение границ охранных зон газораспределительных сетей и наложение ограничений (обременений) на входящие в них земельные участки производятся на основании материалов по межеванию границ охранной зоны органами исполнительной власти Карачаево-Черкесской Республики по согласованию с собственниками, владельцами или пользователями земельных участков – для проектируемых газораспределительных сетей и без согласования с указанными лицами – для существующих газораспределительных сетей.</w:t>
      </w:r>
    </w:p>
    <w:p>
      <w:pPr>
        <w:pStyle w:val="Normal"/>
        <w:ind w:firstLine="567"/>
        <w:jc w:val="both"/>
        <w:rPr/>
      </w:pPr>
      <w:r>
        <w:rPr>
          <w:rFonts w:cs="Times New Roman" w:ascii="Times New Roman" w:hAnsi="Times New Roman"/>
        </w:rPr>
        <w:t>При прохождении охранных зон газораспределительных сетей по лесам и древесно-кустарниковой растительности эксплуатационные организации газораспределительных сетей обязаны за свой счет:</w:t>
      </w:r>
    </w:p>
    <w:p>
      <w:pPr>
        <w:pStyle w:val="Normal"/>
        <w:ind w:firstLine="567"/>
        <w:jc w:val="both"/>
        <w:rPr/>
      </w:pPr>
      <w:r>
        <w:rPr>
          <w:rFonts w:cs="Times New Roman" w:ascii="Times New Roman" w:hAnsi="Times New Roman"/>
        </w:rPr>
        <w:t>- содержать охранные зоны (просеки) газораспределительных сетей в пожаробезопасном состоянии;</w:t>
      </w:r>
    </w:p>
    <w:p>
      <w:pPr>
        <w:pStyle w:val="Normal"/>
        <w:ind w:firstLine="567"/>
        <w:jc w:val="both"/>
        <w:rPr/>
      </w:pPr>
      <w:r>
        <w:rPr>
          <w:rFonts w:cs="Times New Roman" w:ascii="Times New Roman" w:hAnsi="Times New Roman"/>
        </w:rPr>
        <w:t>- создавать минерализованные полосы по границам просек шириной не менее 1,4 метра;</w:t>
      </w:r>
    </w:p>
    <w:p>
      <w:pPr>
        <w:pStyle w:val="Normal"/>
        <w:ind w:firstLine="567"/>
        <w:jc w:val="both"/>
        <w:rPr/>
      </w:pPr>
      <w:r>
        <w:rPr>
          <w:rFonts w:cs="Times New Roman" w:ascii="Times New Roman" w:hAnsi="Times New Roman"/>
        </w:rPr>
        <w:t>- устраивать через каждые 5-7 километров переезды для противопожарной техники. Проведение работ в таких охранных зонах и за их пределами должно производиться в порядке, установленном лесным законодательством Карачаево-Черкесской Республики.</w:t>
      </w:r>
    </w:p>
    <w:p>
      <w:pPr>
        <w:pStyle w:val="Normal"/>
        <w:ind w:firstLine="567"/>
        <w:jc w:val="both"/>
        <w:rPr/>
      </w:pPr>
      <w:r>
        <w:rPr>
          <w:rFonts w:cs="Times New Roman" w:ascii="Times New Roman" w:hAnsi="Times New Roman"/>
        </w:rPr>
        <w:t>Для обеспечения доступа в охранную зону газораспределительной сети эксплуатационная организация при необходимости заключает в установленном порядке с собственниками, владельцами или пользователями смежных земельных участков договоры временного пользования земельными участками или договоры установления сервитута.</w:t>
      </w:r>
    </w:p>
    <w:p>
      <w:pPr>
        <w:pStyle w:val="Normal"/>
        <w:ind w:firstLine="567"/>
        <w:jc w:val="both"/>
        <w:rPr/>
      </w:pPr>
      <w:r>
        <w:rPr>
          <w:rFonts w:cs="Times New Roman" w:ascii="Times New Roman" w:hAnsi="Times New Roman"/>
        </w:rPr>
        <w:t xml:space="preserve">Земельные участки, расположенные в охранных зонах газораспределительных сетей, у их собственников, владельцев или пользователей не изымаются и могут быть использованы ими с учетом ограничений (обременений), устанавливаемых </w:t>
      </w:r>
      <w:r>
        <w:rPr>
          <w:rFonts w:eastAsia="Calibri" w:cs="Times New Roman" w:ascii="Times New Roman" w:hAnsi="Times New Roman"/>
        </w:rPr>
        <w:t>«Правилами охраны газораспределительных сетей»</w:t>
      </w:r>
      <w:r>
        <w:rPr>
          <w:rFonts w:cs="Times New Roman" w:ascii="Times New Roman" w:hAnsi="Times New Roman"/>
        </w:rPr>
        <w:t xml:space="preserve"> и налагаемых на земельные участки в установленном порядке.</w:t>
      </w:r>
    </w:p>
    <w:p>
      <w:pPr>
        <w:pStyle w:val="Normal"/>
        <w:ind w:firstLine="567"/>
        <w:jc w:val="both"/>
        <w:rPr/>
      </w:pPr>
      <w:r>
        <w:rPr>
          <w:rFonts w:cs="Times New Roman" w:ascii="Times New Roman" w:hAnsi="Times New Roman"/>
        </w:rPr>
        <w:t>6. Градостроительные режимы использования территорий в охранных зонах воздушных линий электропередачи</w:t>
      </w:r>
    </w:p>
    <w:p>
      <w:pPr>
        <w:pStyle w:val="Normal"/>
        <w:ind w:firstLine="567"/>
        <w:jc w:val="both"/>
        <w:rPr/>
      </w:pPr>
      <w:r>
        <w:rPr>
          <w:rFonts w:cs="Times New Roman" w:ascii="Times New Roman" w:hAnsi="Times New Roman"/>
        </w:rPr>
        <w:t>Границы охранной зоны в отношении отдельного объекта электросетевого хозяйства определяются организацией, которая владеет им на праве собственности или ином законном основании (далее – сетевая организация).</w:t>
      </w:r>
    </w:p>
    <w:p>
      <w:pPr>
        <w:pStyle w:val="Normal"/>
        <w:ind w:firstLine="567"/>
        <w:jc w:val="both"/>
        <w:rPr/>
      </w:pPr>
      <w:r>
        <w:rPr>
          <w:rFonts w:cs="Times New Roman" w:ascii="Times New Roman" w:hAnsi="Times New Roman"/>
        </w:rPr>
        <w:t>Сетевая организация обращается в федеральный орган исполнительной власти, осуществляющий технический контроль и надзор в электроэнергетике, с заявлением о согласовании границ охранной зоны в отношении отдельных объектов электросетевого хозяйства, которое должно быть рассмотрено в течение 15 дней с даты его поступления в соответствующий орган.</w:t>
      </w:r>
    </w:p>
    <w:p>
      <w:pPr>
        <w:pStyle w:val="Normal"/>
        <w:ind w:firstLine="567"/>
        <w:jc w:val="both"/>
        <w:rPr/>
      </w:pPr>
      <w:r>
        <w:rPr>
          <w:rFonts w:cs="Times New Roman" w:ascii="Times New Roman" w:hAnsi="Times New Roman"/>
        </w:rPr>
        <w:t>После согласования границ охранной зоны сетевая организация обращается в федеральный орган исполнительной власти, осуществляющий кадастровый учет и ведение государственного кадастра недвижимости (орган кадастрового учета), с заявлением о внесении сведений о границах охранной зоны в документы государственного кадастрового учета недвижимого имущества, на основании которого указанный федеральный орган исполнительной власти принимает решение о внесении в документы государственного кадастрового учета недвижимого имущества сведений о границах охранной зоны.</w:t>
      </w:r>
    </w:p>
    <w:p>
      <w:pPr>
        <w:pStyle w:val="Normal"/>
        <w:ind w:firstLine="567"/>
        <w:jc w:val="both"/>
        <w:rPr/>
      </w:pPr>
      <w:r>
        <w:rPr>
          <w:rFonts w:cs="Times New Roman" w:ascii="Times New Roman" w:hAnsi="Times New Roman"/>
        </w:rPr>
        <w:t>Охранная зона считается установленной с даты внесения в документы государственного кадастрового учета сведений о ее границах.</w:t>
      </w:r>
    </w:p>
    <w:p>
      <w:pPr>
        <w:pStyle w:val="Normal"/>
        <w:ind w:firstLine="567"/>
        <w:jc w:val="both"/>
        <w:rPr/>
      </w:pPr>
      <w:r>
        <w:rPr>
          <w:rFonts w:cs="Times New Roman" w:ascii="Times New Roman" w:hAnsi="Times New Roman"/>
        </w:rPr>
        <w:t>Охранные зоны подлежат маркировке путем установки за счет сетевых организаций предупреждающих знаков, содержащих указание на размер охранной зоны, информацию о соответствующей сетевой организации, а также необходимость соблюдения предусмотренных настоящими Правилами ограничений.</w:t>
      </w:r>
    </w:p>
    <w:p>
      <w:pPr>
        <w:pStyle w:val="Normal"/>
        <w:ind w:firstLine="567"/>
        <w:jc w:val="both"/>
        <w:rPr/>
      </w:pPr>
      <w:r>
        <w:rPr>
          <w:rFonts w:cs="Times New Roman" w:ascii="Times New Roman" w:hAnsi="Times New Roman"/>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pPr>
        <w:pStyle w:val="Normal"/>
        <w:ind w:firstLine="567"/>
        <w:jc w:val="both"/>
        <w:rPr/>
      </w:pPr>
      <w:r>
        <w:rPr>
          <w:rFonts w:cs="Times New Roman" w:ascii="Times New Roman" w:hAnsi="Times New Roman"/>
        </w:rPr>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pPr>
        <w:pStyle w:val="Normal"/>
        <w:ind w:firstLine="567"/>
        <w:jc w:val="both"/>
        <w:rPr/>
      </w:pPr>
      <w:r>
        <w:rPr>
          <w:rFonts w:cs="Times New Roman" w:ascii="Times New Roman" w:hAnsi="Times New Roman"/>
        </w:rPr>
        <w:t>-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pPr>
        <w:pStyle w:val="Normal"/>
        <w:ind w:firstLine="567"/>
        <w:jc w:val="both"/>
        <w:rPr/>
      </w:pPr>
      <w:r>
        <w:rPr>
          <w:rFonts w:cs="Times New Roman" w:ascii="Times New Roman" w:hAnsi="Times New Roman"/>
        </w:rPr>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pPr>
        <w:pStyle w:val="Normal"/>
        <w:ind w:firstLine="567"/>
        <w:jc w:val="both"/>
        <w:rPr/>
      </w:pPr>
      <w:r>
        <w:rPr>
          <w:rFonts w:cs="Times New Roman" w:ascii="Times New Roman" w:hAnsi="Times New Roman"/>
        </w:rPr>
        <w:t>- размещать свалки;</w:t>
      </w:r>
    </w:p>
    <w:p>
      <w:pPr>
        <w:pStyle w:val="Normal"/>
        <w:ind w:firstLine="567"/>
        <w:jc w:val="both"/>
        <w:rPr/>
      </w:pPr>
      <w:r>
        <w:rPr>
          <w:rFonts w:cs="Times New Roman" w:ascii="Times New Roman" w:hAnsi="Times New Roman"/>
        </w:rPr>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pPr>
        <w:pStyle w:val="Normal"/>
        <w:ind w:firstLine="567"/>
        <w:jc w:val="both"/>
        <w:rPr/>
      </w:pPr>
      <w:r>
        <w:rPr>
          <w:rFonts w:cs="Times New Roman" w:ascii="Times New Roman" w:hAnsi="Times New Roman"/>
        </w:rPr>
        <w:t>В охранных зонах, установленных для объектов электросетевого хозяйства напряжением свыше 1000 вольт, помимо действий, предусмотренных абзацем выше, запрещается:</w:t>
      </w:r>
    </w:p>
    <w:p>
      <w:pPr>
        <w:pStyle w:val="Normal"/>
        <w:ind w:firstLine="567"/>
        <w:jc w:val="both"/>
        <w:rPr/>
      </w:pPr>
      <w:r>
        <w:rPr>
          <w:rFonts w:cs="Times New Roman" w:ascii="Times New Roman" w:hAnsi="Times New Roman"/>
        </w:rPr>
        <w:t>- складировать или размещать хранилища любых, в том числе горюче-смазочных, материалов;</w:t>
      </w:r>
    </w:p>
    <w:p>
      <w:pPr>
        <w:pStyle w:val="Normal"/>
        <w:ind w:firstLine="567"/>
        <w:jc w:val="both"/>
        <w:rPr/>
      </w:pPr>
      <w:r>
        <w:rPr>
          <w:rFonts w:cs="Times New Roman" w:ascii="Times New Roman" w:hAnsi="Times New Roman"/>
        </w:rPr>
        <w:t>-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pPr>
        <w:pStyle w:val="Normal"/>
        <w:ind w:firstLine="567"/>
        <w:jc w:val="both"/>
        <w:rPr/>
      </w:pPr>
      <w:r>
        <w:rPr>
          <w:rFonts w:cs="Times New Roman" w:ascii="Times New Roman" w:hAnsi="Times New Roman"/>
        </w:rPr>
        <w:t>-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pPr>
        <w:pStyle w:val="Normal"/>
        <w:ind w:firstLine="567"/>
        <w:jc w:val="both"/>
        <w:rPr/>
      </w:pPr>
      <w:r>
        <w:rPr>
          <w:rFonts w:cs="Times New Roman" w:ascii="Times New Roman" w:hAnsi="Times New Roman"/>
        </w:rPr>
        <w:t>В пределах охранных зон без письменного решения о согласовании сетевых организаций юридическим и физическим лицам запрещаются:</w:t>
      </w:r>
    </w:p>
    <w:p>
      <w:pPr>
        <w:pStyle w:val="Normal"/>
        <w:ind w:firstLine="567"/>
        <w:jc w:val="both"/>
        <w:rPr/>
      </w:pPr>
      <w:r>
        <w:rPr>
          <w:rFonts w:cs="Times New Roman" w:ascii="Times New Roman" w:hAnsi="Times New Roman"/>
        </w:rPr>
        <w:t>- строительство, капитальный ремонт, реконструкция или снос зданий и сооружений;</w:t>
      </w:r>
    </w:p>
    <w:p>
      <w:pPr>
        <w:pStyle w:val="Normal"/>
        <w:ind w:firstLine="567"/>
        <w:jc w:val="both"/>
        <w:rPr/>
      </w:pPr>
      <w:r>
        <w:rPr>
          <w:rFonts w:cs="Times New Roman" w:ascii="Times New Roman" w:hAnsi="Times New Roman"/>
        </w:rPr>
        <w:t>- горные, взрывные, мелиоративные работы, в том числе связанные с временным затоплением земель;</w:t>
      </w:r>
    </w:p>
    <w:p>
      <w:pPr>
        <w:pStyle w:val="Normal"/>
        <w:ind w:firstLine="567"/>
        <w:jc w:val="both"/>
        <w:rPr/>
      </w:pPr>
      <w:r>
        <w:rPr>
          <w:rFonts w:cs="Times New Roman" w:ascii="Times New Roman" w:hAnsi="Times New Roman"/>
        </w:rPr>
        <w:t>- посадка и вырубка деревьев и кустарников;</w:t>
      </w:r>
    </w:p>
    <w:p>
      <w:pPr>
        <w:pStyle w:val="Normal"/>
        <w:ind w:firstLine="567"/>
        <w:jc w:val="both"/>
        <w:rPr/>
      </w:pPr>
      <w:r>
        <w:rPr>
          <w:rFonts w:cs="Times New Roman" w:ascii="Times New Roman" w:hAnsi="Times New Roman"/>
        </w:rPr>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pPr>
        <w:pStyle w:val="Normal"/>
        <w:ind w:firstLine="567"/>
        <w:jc w:val="both"/>
        <w:rPr/>
      </w:pPr>
      <w:r>
        <w:rPr>
          <w:rFonts w:cs="Times New Roman" w:ascii="Times New Roman" w:hAnsi="Times New Roman"/>
        </w:rPr>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pPr>
        <w:pStyle w:val="Normal"/>
        <w:ind w:firstLine="567"/>
        <w:jc w:val="both"/>
        <w:rPr/>
      </w:pPr>
      <w:r>
        <w:rPr>
          <w:rFonts w:cs="Times New Roman" w:ascii="Times New Roman" w:hAnsi="Times New Roman"/>
        </w:rPr>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pPr>
        <w:pStyle w:val="Normal"/>
        <w:ind w:firstLine="567"/>
        <w:jc w:val="both"/>
        <w:rPr/>
      </w:pPr>
      <w:r>
        <w:rPr>
          <w:rFonts w:cs="Times New Roman" w:ascii="Times New Roman" w:hAnsi="Times New Roman"/>
        </w:rPr>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pPr>
        <w:pStyle w:val="Normal"/>
        <w:ind w:firstLine="567"/>
        <w:jc w:val="both"/>
        <w:rPr/>
      </w:pPr>
      <w:r>
        <w:rPr>
          <w:rFonts w:cs="Times New Roman" w:ascii="Times New Roman" w:hAnsi="Times New Roman"/>
        </w:rPr>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pPr>
        <w:pStyle w:val="Normal"/>
        <w:ind w:firstLine="567"/>
        <w:jc w:val="both"/>
        <w:rPr/>
      </w:pPr>
      <w:r>
        <w:rPr>
          <w:rFonts w:cs="Times New Roman" w:ascii="Times New Roman" w:hAnsi="Times New Roman"/>
        </w:rPr>
        <w:t>В охранных зонах, установленных для объектов электросетевого хозяйства напряжением до 1000 вольт, помимо действий, предусмотренных выше, без письменного решения о согласовании сетевых организаций запрещается:</w:t>
      </w:r>
    </w:p>
    <w:p>
      <w:pPr>
        <w:pStyle w:val="Normal"/>
        <w:ind w:firstLine="567"/>
        <w:jc w:val="both"/>
        <w:rPr/>
      </w:pPr>
      <w:r>
        <w:rPr>
          <w:rFonts w:cs="Times New Roman" w:ascii="Times New Roman" w:hAnsi="Times New Roman"/>
        </w:rPr>
        <w:t>- размещать детские и спортивные площадки, стадионы, рынки, торговые точки, полевые станы, загоны для скота, гаражи и стоянки всех видов машин и механизмов (в охранных зонах воздушных линий электропередачи);</w:t>
      </w:r>
    </w:p>
    <w:p>
      <w:pPr>
        <w:pStyle w:val="Normal"/>
        <w:ind w:firstLine="567"/>
        <w:jc w:val="both"/>
        <w:rPr/>
      </w:pPr>
      <w:r>
        <w:rPr>
          <w:rFonts w:cs="Times New Roman" w:ascii="Times New Roman" w:hAnsi="Times New Roman"/>
        </w:rPr>
        <w:t>- складировать или размещать хранилища любых, в том числе горюче-смазочных, материалов;</w:t>
      </w:r>
    </w:p>
    <w:p>
      <w:pPr>
        <w:pStyle w:val="Normal"/>
        <w:ind w:firstLine="567"/>
        <w:jc w:val="both"/>
        <w:rPr/>
      </w:pPr>
      <w:r>
        <w:rPr>
          <w:rFonts w:cs="Times New Roman" w:ascii="Times New Roman" w:hAnsi="Times New Roman"/>
        </w:rPr>
        <w:t>Для получения письменного решения о согласовании осуществления действий, предусмотренных выше, заинтересованные лица обращаются с письменным заявлением к сетевой организации (ее филиалу, представительству или структурному подразделению), ответственной за эксплуатацию соответствующих объектов электросетевого хозяйства, не позднее чем за 15 рабочих дней до осуществления необходимых действий.</w:t>
      </w:r>
    </w:p>
    <w:p>
      <w:pPr>
        <w:pStyle w:val="Normal"/>
        <w:ind w:firstLine="567"/>
        <w:jc w:val="both"/>
        <w:rPr/>
      </w:pPr>
      <w:r>
        <w:rPr>
          <w:rFonts w:cs="Times New Roman" w:ascii="Times New Roman" w:hAnsi="Times New Roman"/>
        </w:rPr>
        <w:t>Сетевая организация в течение 2 дней с даты поступления заявления рассматривает его и принимает решение о согласовании (отказе в согласовании) осуществления соответствующих действий.</w:t>
      </w:r>
    </w:p>
    <w:p>
      <w:pPr>
        <w:pStyle w:val="Normal"/>
        <w:ind w:firstLine="567"/>
        <w:jc w:val="both"/>
        <w:rPr/>
      </w:pPr>
      <w:r>
        <w:rPr>
          <w:rFonts w:cs="Times New Roman" w:ascii="Times New Roman" w:hAnsi="Times New Roman"/>
        </w:rPr>
        <w:t>Письменное решение о согласовании (отказе в согласовании) осуществления действий, предусмотренных выше, вручается заявителю, либо направляется ему почтовым отправлением с уведомлением о вручении. Заявитель также информируется сетевой организацией о принятом решении с использованием факсимильных или электронных средств связи в случае, если в заявлении указано на необходимость такого информирования.</w:t>
      </w:r>
    </w:p>
    <w:p>
      <w:pPr>
        <w:pStyle w:val="Normal"/>
        <w:ind w:firstLine="567"/>
        <w:jc w:val="both"/>
        <w:rPr/>
      </w:pPr>
      <w:r>
        <w:rPr>
          <w:rFonts w:cs="Times New Roman" w:ascii="Times New Roman" w:hAnsi="Times New Roman"/>
        </w:rPr>
        <w:t>Отказ в согласовании действий, предусмотренных выше, допускается, если осуществление соответствующих действий нарушает требования, установленные нормативными правовыми актами, и может повлечь нарушение функционирования соответствующих объектов электросетевого хозяйства. Отказ должен быть мотивированным и содержать ссылки на положения нормативных правовых актов, которые будут нарушены вследствие производства заявителем соответствующих работ (осуществления соответствующих действий).</w:t>
      </w:r>
    </w:p>
    <w:p>
      <w:pPr>
        <w:pStyle w:val="Normal"/>
        <w:ind w:firstLine="567"/>
        <w:jc w:val="both"/>
        <w:rPr/>
      </w:pPr>
      <w:r>
        <w:rPr>
          <w:rFonts w:cs="Times New Roman" w:ascii="Times New Roman" w:hAnsi="Times New Roman"/>
        </w:rPr>
        <w:t>Лица, получившие решение о согласовании осуществления действий в охранных зонах, обязаны осуществлять их с соблюдением условий, обеспечивающих сохранность объектов электросетевого хозяйства.</w:t>
      </w:r>
    </w:p>
    <w:p>
      <w:pPr>
        <w:pStyle w:val="Normal"/>
        <w:ind w:firstLine="567"/>
        <w:jc w:val="both"/>
        <w:rPr/>
      </w:pPr>
      <w:r>
        <w:rPr>
          <w:rFonts w:cs="Times New Roman" w:ascii="Times New Roman" w:hAnsi="Times New Roman"/>
        </w:rPr>
        <w:t>Письменное решение о согласовании производства взрывных работ в охранных зонах выдается только после представления лицами, производящими эти работы, оформленной в установленном порядке технической документации (проекты, паспорта и т.п.), предусмотренной правилами безопасности при взрывных работах, установленными нормативными правовыми актами.</w:t>
      </w:r>
    </w:p>
    <w:p>
      <w:pPr>
        <w:pStyle w:val="Normal"/>
        <w:ind w:firstLine="567"/>
        <w:jc w:val="both"/>
        <w:rPr/>
      </w:pPr>
      <w:r>
        <w:rPr>
          <w:rFonts w:cs="Times New Roman" w:ascii="Times New Roman" w:hAnsi="Times New Roman"/>
        </w:rPr>
        <w:t>При получении письменного решения о согласовании строительства, капитального ремонта и реконструкции зданий и сооружений одновременно с указанным заявлением сетевой организации направляется проектная документация, разработанная применительно к соответствующим объектам. В случае если разработка такой документации в соответствии с законодательством о градостроительной деятельности не является обязательной, одновременно с таким заявлением представляются сведения о параметрах объекта, который планируется построить (изменении его параметров при реконструкции), а также о сроках и объемах работ по строительству, реконструкции и ремонту. Требовать от лиц, заинтересованных в осуществлении строительства, реконструкции и ремонта зданий и сооружений, иные документы и сведения не допускается.</w:t>
      </w:r>
    </w:p>
    <w:p>
      <w:pPr>
        <w:pStyle w:val="Normal"/>
        <w:ind w:firstLine="567"/>
        <w:jc w:val="both"/>
        <w:rPr/>
      </w:pPr>
      <w:r>
        <w:rPr>
          <w:rFonts w:cs="Times New Roman" w:ascii="Times New Roman" w:hAnsi="Times New Roman"/>
        </w:rPr>
        <w:t>Отказ сетевых организаций в выдаче письменного решения о согласовании осуществления в охранных зонах действий, предусмотренных настоящими Правилами, может быть обжалован в суде.</w:t>
      </w:r>
    </w:p>
    <w:p>
      <w:pPr>
        <w:pStyle w:val="Normal"/>
        <w:ind w:firstLine="567"/>
        <w:jc w:val="both"/>
        <w:rPr/>
      </w:pPr>
      <w:r>
        <w:rPr>
          <w:rFonts w:cs="Times New Roman" w:ascii="Times New Roman" w:hAnsi="Times New Roman"/>
        </w:rPr>
        <w:t>При обнаружении федеральным органом исполнительной власти, осуществляющим технический контроль и надзор в электроэнергетике, фактов осуществления в границах охранных зон действий, запрещенных настоящими Правилами, без получения письменного решения о согласовании сетевой организации, уполномоченные должностные лица указанного органа составляют протоколы о соответствующих административных правонарушениях в соответствии с законодательством Российской Федерации.</w:t>
      </w:r>
    </w:p>
    <w:p>
      <w:pPr>
        <w:pStyle w:val="Normal"/>
        <w:ind w:firstLine="567"/>
        <w:jc w:val="both"/>
        <w:rPr/>
      </w:pPr>
      <w:r>
        <w:rPr>
          <w:rFonts w:cs="Times New Roman" w:ascii="Times New Roman" w:hAnsi="Times New Roman"/>
        </w:rPr>
        <w:t>При обнаружении сетевыми организациями и иными лицами фактов осуществления в границах охранных зон действий, запрещенных и предусмотренных настоящими Правилами, без получения письменного решения о согласовании сетевой организации, указанные лица направляют заявление о наличии таких фактов в федеральный орган исполнительной власти, уполномоченный на осуществление технического контроля и надзора в электроэнергетике, а также вправе в соответствии с законодательством Российской Федерации обратиться в суд и (или) органы исполнительной власти, уполномоченные на рассмотрение дел о соответствующих правонарушениях.</w:t>
      </w:r>
    </w:p>
    <w:p>
      <w:pPr>
        <w:pStyle w:val="Normal"/>
        <w:ind w:firstLine="567"/>
        <w:jc w:val="both"/>
        <w:rPr/>
      </w:pPr>
      <w:r>
        <w:rPr>
          <w:rFonts w:cs="Times New Roman" w:ascii="Times New Roman" w:hAnsi="Times New Roman"/>
        </w:rPr>
        <w:t>При совпадении (пересечении) охранной зоны с полосой отвода и (или) охранной зоной железных дорог, полосой отвода и (или) придорожной полосой автомобильных дорог, охранными зонами трубопроводов, линий связи и других объектов проведение работ, связанных с эксплуатацией этих объектов, на совпадающих участках территорий осуществляется заинтересованными лицами по согласованию в соответствии с законодательством Российской Федерации, регламентирующим порядок установления и использования охранных зон, придорожных зон, полос отвода соответствующих объектов с обязательным заключением соглашения о взаимодействии в случае возникновения аварии.</w:t>
      </w:r>
    </w:p>
    <w:p>
      <w:pPr>
        <w:pStyle w:val="Normal"/>
        <w:ind w:firstLine="567"/>
        <w:jc w:val="both"/>
        <w:rPr/>
      </w:pPr>
      <w:r>
        <w:rPr>
          <w:rFonts w:cs="Times New Roman" w:ascii="Times New Roman" w:hAnsi="Times New Roman"/>
        </w:rPr>
        <w:t>На автомобильных дорогах в местах пересечения с воздушными линиями электропередачи владельцами автомобильных дорог должна обеспечиваться установка дорожных знаков, запрещающих проезд транспортных средств высотой с грузом или без груза более 4,5 метра в охранных зонах воздушных линий электропередачи независимо от проектного номинального класса напряжения.</w:t>
      </w:r>
    </w:p>
    <w:p>
      <w:pPr>
        <w:pStyle w:val="Normal"/>
        <w:ind w:firstLine="567"/>
        <w:jc w:val="both"/>
        <w:rPr/>
      </w:pPr>
      <w:r>
        <w:rPr>
          <w:rFonts w:cs="Times New Roman" w:ascii="Times New Roman" w:hAnsi="Times New Roman"/>
        </w:rPr>
        <w:t>Лица, производящие земляные работы, при обнаружении кабеля, не указанного в технической документации на производство работ, обязаны немедленно прекратить эти работы, принять меры к обеспечению сохранности кабеля и в течение суток сообщить об этом сетевой организации, владеющей на праве собственности (ином законном основании) указанной кабельной линией, либо органу исполнительной власти, уполномоченному на осуществление технического контроля и надзора в электроэнергетике.</w:t>
      </w:r>
    </w:p>
    <w:p>
      <w:pPr>
        <w:pStyle w:val="Normal"/>
        <w:ind w:firstLine="567"/>
        <w:jc w:val="both"/>
        <w:rPr/>
      </w:pPr>
      <w:r>
        <w:rPr>
          <w:rFonts w:cs="Times New Roman" w:ascii="Times New Roman" w:hAnsi="Times New Roman"/>
        </w:rPr>
        <w:t>7. Градостроительные режимы использования территорий в санитарно-защитных полосах магистральных водоводов</w:t>
      </w:r>
    </w:p>
    <w:p>
      <w:pPr>
        <w:pStyle w:val="Normal"/>
        <w:ind w:firstLine="567"/>
        <w:jc w:val="both"/>
        <w:rPr/>
      </w:pPr>
      <w:r>
        <w:rPr>
          <w:rFonts w:cs="Times New Roman" w:ascii="Times New Roman" w:hAnsi="Times New Roman"/>
        </w:rPr>
        <w:t>7.1. Условия использования и содержания территорий</w:t>
      </w:r>
    </w:p>
    <w:p>
      <w:pPr>
        <w:pStyle w:val="Normal"/>
        <w:ind w:firstLine="567"/>
        <w:jc w:val="both"/>
        <w:rPr/>
      </w:pPr>
      <w:r>
        <w:rPr>
          <w:rFonts w:cs="Times New Roman" w:ascii="Times New Roman" w:hAnsi="Times New Roman"/>
        </w:rPr>
        <w:t>Санитарная охрана водоводов обеспечивается санитарно-защитной полосой. В санитарно-защитной полосе устанавливается специальный режим и определяется комплекс мероприятий, направленных на предупреждение ухудшения качества воды.</w:t>
      </w:r>
    </w:p>
    <w:p>
      <w:pPr>
        <w:pStyle w:val="Normal"/>
        <w:ind w:firstLine="567"/>
        <w:jc w:val="both"/>
        <w:rPr/>
      </w:pPr>
      <w:r>
        <w:rPr>
          <w:rFonts w:cs="Times New Roman" w:ascii="Times New Roman" w:hAnsi="Times New Roman"/>
        </w:rPr>
        <w:t>Необходимое условие для существующих в санитарно-защитных полосах водоводов объектов – отсутствие источников загрязнения почвы и грунтовых вод. На земельных участках – оформление сервитутов.</w:t>
      </w:r>
    </w:p>
    <w:p>
      <w:pPr>
        <w:pStyle w:val="Normal"/>
        <w:ind w:firstLine="567"/>
        <w:jc w:val="both"/>
        <w:rPr/>
      </w:pPr>
      <w:r>
        <w:rPr>
          <w:rFonts w:cs="Times New Roman" w:ascii="Times New Roman" w:hAnsi="Times New Roman"/>
        </w:rPr>
        <w:t>Ширина санитарно-защитных полос водоводов принимается по обе стороны от крайних линий водопровода: при отсутствии грунтовых вод – не менее 10 м (диаметр водоводов до 1000 мм) и не менее 20 м (диаметр водоводов более 1000 мм); при наличии грунтовых вод – не менее 50 м (вне зависимости от диаметра).</w:t>
      </w:r>
    </w:p>
    <w:p>
      <w:pPr>
        <w:pStyle w:val="Normal"/>
        <w:ind w:firstLine="567"/>
        <w:jc w:val="both"/>
        <w:rPr/>
      </w:pPr>
      <w:r>
        <w:rPr>
          <w:rFonts w:cs="Times New Roman" w:ascii="Times New Roman" w:hAnsi="Times New Roman"/>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pPr>
        <w:pStyle w:val="Normal"/>
        <w:ind w:firstLine="567"/>
        <w:jc w:val="both"/>
        <w:rPr/>
      </w:pPr>
      <w:r>
        <w:rPr>
          <w:rFonts w:cs="Times New Roman" w:ascii="Times New Roman" w:hAnsi="Times New Roman"/>
        </w:rPr>
        <w:t>7.2. Запрещённые виды использования территорий</w:t>
      </w:r>
    </w:p>
    <w:p>
      <w:pPr>
        <w:pStyle w:val="Normal"/>
        <w:ind w:firstLine="567"/>
        <w:jc w:val="both"/>
        <w:rPr/>
      </w:pPr>
      <w:r>
        <w:rPr>
          <w:rFonts w:cs="Times New Roman" w:ascii="Times New Roman" w:hAnsi="Times New Roman"/>
        </w:rPr>
        <w:t>Запрещено размещение объектов, являющихся источниками загрязнения почв и грунтовых вод.</w:t>
      </w:r>
    </w:p>
    <w:p>
      <w:pPr>
        <w:pStyle w:val="Normal"/>
        <w:ind w:firstLine="567"/>
        <w:jc w:val="both"/>
        <w:rPr/>
      </w:pPr>
      <w:r>
        <w:rPr>
          <w:rFonts w:cs="Times New Roman" w:ascii="Times New Roman" w:hAnsi="Times New Roman"/>
        </w:rPr>
        <w:t>Не допускается прокладка водоводов по территории свалок, полей ассенизации, полей фильтрации, полей орошения, кладбищ, скотомогильников.</w:t>
      </w:r>
    </w:p>
    <w:p>
      <w:pPr>
        <w:pStyle w:val="Normal"/>
        <w:ind w:firstLine="567"/>
        <w:jc w:val="both"/>
        <w:rPr/>
      </w:pPr>
      <w:r>
        <w:rPr>
          <w:rFonts w:cs="Times New Roman" w:ascii="Times New Roman" w:hAnsi="Times New Roman"/>
        </w:rPr>
        <w:t>Запрещена прокладка магистральных водоводов по территории промышленных и агропромышленных предприятий.</w:t>
      </w:r>
    </w:p>
    <w:p>
      <w:pPr>
        <w:pStyle w:val="Normal"/>
        <w:ind w:firstLine="567"/>
        <w:jc w:val="both"/>
        <w:rPr/>
      </w:pPr>
      <w:r>
        <w:rPr>
          <w:rFonts w:cs="Times New Roman" w:ascii="Times New Roman" w:hAnsi="Times New Roman"/>
        </w:rPr>
        <w:t>8. Градостроительные режимы использования территорий в первом поясе зоны санитарной охраны водозаборов хозяйственно-питьевого назначения</w:t>
      </w:r>
    </w:p>
    <w:p>
      <w:pPr>
        <w:pStyle w:val="Normal"/>
        <w:ind w:firstLine="567"/>
        <w:jc w:val="both"/>
        <w:rPr/>
      </w:pPr>
      <w:r>
        <w:rPr>
          <w:rFonts w:cs="Times New Roman" w:ascii="Times New Roman" w:hAnsi="Times New Roman"/>
        </w:rPr>
        <w:t>8.1. Условия использования и содержания территорий</w:t>
      </w:r>
    </w:p>
    <w:p>
      <w:pPr>
        <w:pStyle w:val="Normal"/>
        <w:ind w:firstLine="567"/>
        <w:jc w:val="both"/>
        <w:rPr/>
      </w:pPr>
      <w:r>
        <w:rPr>
          <w:rFonts w:cs="Times New Roman" w:ascii="Times New Roman" w:hAnsi="Times New Roman"/>
        </w:rPr>
        <w:t>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pPr>
        <w:pStyle w:val="Normal"/>
        <w:ind w:firstLine="567"/>
        <w:jc w:val="both"/>
        <w:rPr/>
      </w:pPr>
      <w:r>
        <w:rPr>
          <w:rFonts w:cs="Times New Roman" w:ascii="Times New Roman" w:hAnsi="Times New Roman"/>
        </w:rPr>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pPr>
        <w:pStyle w:val="Normal"/>
        <w:ind w:firstLine="567"/>
        <w:jc w:val="both"/>
        <w:rPr/>
      </w:pPr>
      <w:r>
        <w:rPr>
          <w:rFonts w:cs="Times New Roman" w:ascii="Times New Roman" w:hAnsi="Times New Roman"/>
        </w:rPr>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pPr>
        <w:pStyle w:val="Normal"/>
        <w:ind w:firstLine="567"/>
        <w:jc w:val="both"/>
        <w:rPr/>
      </w:pPr>
      <w:r>
        <w:rPr>
          <w:rFonts w:cs="Times New Roman" w:ascii="Times New Roman" w:hAnsi="Times New Roman"/>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pPr>
        <w:pStyle w:val="Normal"/>
        <w:ind w:firstLine="567"/>
        <w:jc w:val="both"/>
        <w:rPr/>
      </w:pPr>
      <w:r>
        <w:rPr>
          <w:rFonts w:cs="Times New Roman" w:ascii="Times New Roman" w:hAnsi="Times New Roman"/>
        </w:rPr>
        <w:t>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pPr>
        <w:pStyle w:val="Normal"/>
        <w:ind w:firstLine="567"/>
        <w:jc w:val="both"/>
        <w:rPr/>
      </w:pPr>
      <w:r>
        <w:rPr>
          <w:rFonts w:cs="Times New Roman" w:ascii="Times New Roman" w:hAnsi="Times New Roman"/>
        </w:rPr>
        <w:t>8.2. Запрещенные виды использования территорий</w:t>
      </w:r>
    </w:p>
    <w:p>
      <w:pPr>
        <w:pStyle w:val="Normal"/>
        <w:ind w:firstLine="567"/>
        <w:jc w:val="both"/>
        <w:rPr/>
      </w:pPr>
      <w:r>
        <w:rPr>
          <w:rFonts w:cs="Times New Roman" w:ascii="Times New Roman" w:hAnsi="Times New Roman"/>
        </w:rPr>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pPr>
        <w:pStyle w:val="Normal"/>
        <w:ind w:firstLine="567"/>
        <w:jc w:val="both"/>
        <w:rPr/>
      </w:pPr>
      <w:r>
        <w:rPr>
          <w:rFonts w:cs="Times New Roman" w:ascii="Times New Roman" w:hAnsi="Times New Roman"/>
        </w:rPr>
        <w:t>Для водозаборов поверхностных вод не допускается выпуск любых сточных вод, а также купание, стирка белья, водопой скота и другие виды водопользования, оказывающие влияние на качество воды.</w:t>
      </w:r>
    </w:p>
    <w:p>
      <w:pPr>
        <w:pStyle w:val="Normal"/>
        <w:ind w:firstLine="567"/>
        <w:jc w:val="both"/>
        <w:rPr/>
      </w:pPr>
      <w:r>
        <w:rPr>
          <w:rFonts w:cs="Times New Roman" w:ascii="Times New Roman" w:hAnsi="Times New Roman"/>
        </w:rPr>
        <w:t>9. Градостроительные режимы использования территорий во втором поясе зоны санитарной охраны водозаборов хозяйственно-питьевого назначения</w:t>
      </w:r>
    </w:p>
    <w:p>
      <w:pPr>
        <w:pStyle w:val="Normal"/>
        <w:ind w:firstLine="567"/>
        <w:jc w:val="both"/>
        <w:rPr/>
      </w:pPr>
      <w:r>
        <w:rPr>
          <w:rFonts w:cs="Times New Roman" w:ascii="Times New Roman" w:hAnsi="Times New Roman"/>
        </w:rPr>
        <w:t>9.1. Условия использования и содержания территорий</w:t>
      </w:r>
    </w:p>
    <w:p>
      <w:pPr>
        <w:pStyle w:val="Normal"/>
        <w:ind w:firstLine="567"/>
        <w:jc w:val="both"/>
        <w:rPr/>
      </w:pPr>
      <w:r>
        <w:rPr>
          <w:rFonts w:cs="Times New Roman" w:ascii="Times New Roman" w:hAnsi="Times New Roman"/>
        </w:rPr>
        <w:t>Требуется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pPr>
        <w:pStyle w:val="Normal"/>
        <w:ind w:firstLine="567"/>
        <w:jc w:val="both"/>
        <w:rPr/>
      </w:pPr>
      <w:r>
        <w:rPr>
          <w:rFonts w:cs="Times New Roman" w:ascii="Times New Roman" w:hAnsi="Times New Roman"/>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pPr>
        <w:pStyle w:val="Normal"/>
        <w:ind w:firstLine="567"/>
        <w:jc w:val="both"/>
        <w:rPr/>
      </w:pPr>
      <w:r>
        <w:rPr>
          <w:rFonts w:cs="Times New Roman" w:ascii="Times New Roman" w:hAnsi="Times New Roman"/>
        </w:rPr>
        <w:t>Требуется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pPr>
        <w:pStyle w:val="Normal"/>
        <w:ind w:firstLine="567"/>
        <w:jc w:val="both"/>
        <w:rPr/>
      </w:pPr>
      <w:r>
        <w:rPr>
          <w:rFonts w:cs="Times New Roman" w:ascii="Times New Roman" w:hAnsi="Times New Roman"/>
        </w:rPr>
        <w:t>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 (для водозаборов поверхностных вод).</w:t>
      </w:r>
    </w:p>
    <w:p>
      <w:pPr>
        <w:pStyle w:val="Normal"/>
        <w:ind w:firstLine="567"/>
        <w:jc w:val="both"/>
        <w:rPr/>
      </w:pPr>
      <w:r>
        <w:rPr>
          <w:rFonts w:cs="Times New Roman" w:ascii="Times New Roman" w:hAnsi="Times New Roman"/>
        </w:rPr>
        <w:t>Использование химических методов борьбы с эвтрофикацией водоёмов допускается при условии применения препаратов, имеющих положительное санитарно-эпидемиологическое заключение государственной санитарно-эпидемиологической службы Российской Федерации.</w:t>
      </w:r>
    </w:p>
    <w:p>
      <w:pPr>
        <w:pStyle w:val="Normal"/>
        <w:ind w:firstLine="567"/>
        <w:jc w:val="both"/>
        <w:rPr/>
      </w:pPr>
      <w:r>
        <w:rPr>
          <w:rFonts w:cs="Times New Roman" w:ascii="Times New Roman" w:hAnsi="Times New Roman"/>
        </w:rPr>
        <w:t>Выявление объектов, загрязняющих источники водоснабжения, с разработкой конкретных водоохранных мероприятий, обеспеченных источниками финансирования, подрядными организациями и согласованных с центром государственного санитарно-эпидемиологического надзора.</w:t>
      </w:r>
    </w:p>
    <w:p>
      <w:pPr>
        <w:pStyle w:val="Normal"/>
        <w:ind w:firstLine="567"/>
        <w:jc w:val="both"/>
        <w:rPr/>
      </w:pPr>
      <w:r>
        <w:rPr>
          <w:rFonts w:cs="Times New Roman" w:ascii="Times New Roman" w:hAnsi="Times New Roman"/>
        </w:rPr>
        <w:t>Требуется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pPr>
        <w:pStyle w:val="Normal"/>
        <w:ind w:firstLine="567"/>
        <w:jc w:val="both"/>
        <w:rPr/>
      </w:pPr>
      <w:r>
        <w:rPr>
          <w:rFonts w:cs="Times New Roman" w:ascii="Times New Roman" w:hAnsi="Times New Roman"/>
        </w:rPr>
        <w:t>Требуются отвод ливневых стоков и их очистка на локальных очистных сооружениях ливневой канализации.</w:t>
      </w:r>
    </w:p>
    <w:p>
      <w:pPr>
        <w:pStyle w:val="Normal"/>
        <w:ind w:firstLine="567"/>
        <w:jc w:val="both"/>
        <w:rPr/>
      </w:pPr>
      <w:r>
        <w:rPr>
          <w:rFonts w:cs="Times New Roman" w:ascii="Times New Roman" w:hAnsi="Times New Roman"/>
        </w:rPr>
        <w:t>Использование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w:t>
      </w:r>
    </w:p>
    <w:p>
      <w:pPr>
        <w:pStyle w:val="Normal"/>
        <w:ind w:firstLine="567"/>
        <w:jc w:val="both"/>
        <w:rPr/>
      </w:pPr>
      <w:r>
        <w:rPr>
          <w:rFonts w:cs="Times New Roman" w:ascii="Times New Roman" w:hAnsi="Times New Roman"/>
        </w:rPr>
        <w:t>Допускаются только рубки ухода и санитарные рубки леса.</w:t>
      </w:r>
    </w:p>
    <w:p>
      <w:pPr>
        <w:pStyle w:val="Normal"/>
        <w:ind w:firstLine="567"/>
        <w:jc w:val="both"/>
        <w:rPr/>
      </w:pPr>
      <w:r>
        <w:rPr>
          <w:rFonts w:cs="Times New Roman" w:ascii="Times New Roman" w:hAnsi="Times New Roman"/>
        </w:rPr>
        <w:t>Требуется выполнение мероприятий по санитарному благоустройству территорий туристических деревень (оборудование канализацией, устройство водонепроницаемых выгребов, организация отвода поверхностного стока и др.). Санитарные мероприятия должны выполняться владельцами объектов, оказывающих (или могущих оказать) отрицательное влияние на качество воды источников водоснабжения.</w:t>
      </w:r>
    </w:p>
    <w:p>
      <w:pPr>
        <w:pStyle w:val="Normal"/>
        <w:ind w:firstLine="567"/>
        <w:jc w:val="both"/>
        <w:rPr/>
      </w:pPr>
      <w:bookmarkStart w:id="270" w:name="_Toc179264729"/>
      <w:bookmarkEnd w:id="270"/>
      <w:r>
        <w:rPr>
          <w:rFonts w:cs="Times New Roman" w:ascii="Times New Roman" w:hAnsi="Times New Roman"/>
        </w:rPr>
        <w:t>9.2. Запрещенные виды использования территории</w:t>
      </w:r>
    </w:p>
    <w:p>
      <w:pPr>
        <w:pStyle w:val="Normal"/>
        <w:ind w:firstLine="567"/>
        <w:jc w:val="both"/>
        <w:rPr/>
      </w:pPr>
      <w:r>
        <w:rPr>
          <w:rFonts w:cs="Times New Roman" w:ascii="Times New Roman" w:hAnsi="Times New Roman"/>
        </w:rPr>
        <w:t>Запрещен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pPr>
        <w:pStyle w:val="Normal"/>
        <w:ind w:firstLine="567"/>
        <w:jc w:val="both"/>
        <w:rPr/>
      </w:pPr>
      <w:r>
        <w:rPr>
          <w:rFonts w:cs="Times New Roman" w:ascii="Times New Roman" w:hAnsi="Times New Roman"/>
        </w:rPr>
        <w:t>Запрещена закачка отработанных вод в подземные горизонты, подземного складирования твердых отходов и разработки недр земли.</w:t>
      </w:r>
    </w:p>
    <w:p>
      <w:pPr>
        <w:pStyle w:val="Normal"/>
        <w:ind w:firstLine="567"/>
        <w:jc w:val="both"/>
        <w:rPr/>
      </w:pPr>
      <w:bookmarkStart w:id="271" w:name="Par222"/>
      <w:bookmarkEnd w:id="271"/>
      <w:r>
        <w:rPr>
          <w:rFonts w:cs="Times New Roman" w:ascii="Times New Roman" w:hAnsi="Times New Roman"/>
        </w:rPr>
        <w:t>Запрещено размещение складов горюче-смазочных материалов, ядохимикатов и минеральных удобрений, накопителей промышленных стоков, шламохранилищ и других объектов, обусловливающих опасность химического загрязнения подземных вод.</w:t>
      </w:r>
    </w:p>
    <w:p>
      <w:pPr>
        <w:pStyle w:val="Normal"/>
        <w:ind w:firstLine="567"/>
        <w:jc w:val="both"/>
        <w:rPr/>
      </w:pPr>
      <w:r>
        <w:rPr>
          <w:rFonts w:cs="Times New Roman" w:ascii="Times New Roman" w:hAnsi="Times New Roman"/>
        </w:rPr>
        <w:t>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pPr>
        <w:pStyle w:val="Normal"/>
        <w:ind w:firstLine="567"/>
        <w:jc w:val="both"/>
        <w:rPr/>
      </w:pPr>
      <w:r>
        <w:rPr>
          <w:rFonts w:cs="Times New Roman" w:ascii="Times New Roman" w:hAnsi="Times New Roman"/>
        </w:rPr>
        <w:t>Не допускается применение удобрений и ядохимикатов.</w:t>
      </w:r>
    </w:p>
    <w:p>
      <w:pPr>
        <w:pStyle w:val="Normal"/>
        <w:ind w:firstLine="567"/>
        <w:jc w:val="both"/>
        <w:rPr/>
      </w:pPr>
      <w:r>
        <w:rPr>
          <w:rFonts w:cs="Times New Roman" w:ascii="Times New Roman" w:hAnsi="Times New Roman"/>
        </w:rPr>
        <w:t>Запрещена рубка леса главного пользования и реконструкции. Допускаются только рубки ухода и санитарные рубки леса</w:t>
      </w:r>
    </w:p>
    <w:p>
      <w:pPr>
        <w:pStyle w:val="Normal"/>
        <w:ind w:firstLine="567"/>
        <w:jc w:val="both"/>
        <w:rPr/>
      </w:pPr>
      <w:r>
        <w:rPr>
          <w:rFonts w:cs="Times New Roman" w:ascii="Times New Roman" w:hAnsi="Times New Roman"/>
        </w:rPr>
        <w:t>Запрещены стойбища и выпас скота, а также всякое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pPr>
        <w:pStyle w:val="Normal"/>
        <w:ind w:firstLine="567"/>
        <w:jc w:val="both"/>
        <w:rPr/>
      </w:pPr>
      <w:r>
        <w:rPr>
          <w:rFonts w:cs="Times New Roman" w:ascii="Times New Roman" w:hAnsi="Times New Roman"/>
        </w:rPr>
        <w:t>10. Градостроительные режимы использования территорий в водоохранной зоне</w:t>
      </w:r>
    </w:p>
    <w:p>
      <w:pPr>
        <w:pStyle w:val="Normal"/>
        <w:ind w:firstLine="567"/>
        <w:jc w:val="both"/>
        <w:rPr/>
      </w:pPr>
      <w:r>
        <w:rPr>
          <w:rFonts w:cs="Times New Roman" w:ascii="Times New Roman" w:hAnsi="Times New Roman"/>
        </w:rPr>
        <w:t>10.1. Условия использования и содержания территорий</w:t>
      </w:r>
    </w:p>
    <w:p>
      <w:pPr>
        <w:pStyle w:val="Normal"/>
        <w:ind w:firstLine="567"/>
        <w:jc w:val="both"/>
        <w:rPr/>
      </w:pPr>
      <w:r>
        <w:rPr>
          <w:rFonts w:cs="Times New Roman" w:ascii="Times New Roman" w:hAnsi="Times New Roman"/>
        </w:rPr>
        <w:t>Проведение на водном объекте работ, в результате которых образуются твердые взвешенные частицы, допускается только в соответствии с требованиями законодательства Российской Федерации.</w:t>
      </w:r>
    </w:p>
    <w:p>
      <w:pPr>
        <w:pStyle w:val="Normal"/>
        <w:ind w:firstLine="567"/>
        <w:jc w:val="both"/>
        <w:rPr/>
      </w:pPr>
      <w:r>
        <w:rPr>
          <w:rFonts w:cs="Times New Roman" w:ascii="Times New Roman" w:hAnsi="Times New Roman"/>
        </w:rPr>
        <w:t>Содержание радиоактивных веществ, пестицидов, агрохимикатов и других опасных для здоровья человека веществ и соединений в водных объектах не должно превышать соответственно предельно допустимые уровни естественного радиационного фона, характерные для отдельных водных объектов, и иные установленные в соответствии с законодательством Российской Федерации нормативы.</w:t>
      </w:r>
    </w:p>
    <w:p>
      <w:pPr>
        <w:pStyle w:val="Normal"/>
        <w:ind w:firstLine="567"/>
        <w:jc w:val="both"/>
        <w:rPr/>
      </w:pPr>
      <w:r>
        <w:rPr>
          <w:rFonts w:cs="Times New Roman" w:ascii="Times New Roman" w:hAnsi="Times New Roman"/>
        </w:rPr>
        <w:t>Допускается выморачивание, вынос, ликвидация объектов в целях предотвращения загрязнения, засорения и истощения вод.</w:t>
      </w:r>
    </w:p>
    <w:p>
      <w:pPr>
        <w:pStyle w:val="Normal"/>
        <w:ind w:firstLine="567"/>
        <w:jc w:val="both"/>
        <w:rPr/>
      </w:pPr>
      <w:r>
        <w:rPr>
          <w:rFonts w:cs="Times New Roman" w:ascii="Times New Roman" w:hAnsi="Times New Roman"/>
        </w:rPr>
        <w:t>Допускается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Под сооружениями, обеспечивающими охрану водных объектов от загрязнения, засорения, заиления и истощения вод, понимаются:</w:t>
      </w:r>
    </w:p>
    <w:p>
      <w:pPr>
        <w:pStyle w:val="Normal"/>
        <w:ind w:firstLine="567"/>
        <w:jc w:val="both"/>
        <w:rPr/>
      </w:pPr>
      <w:bookmarkStart w:id="272" w:name="Par934"/>
      <w:bookmarkEnd w:id="272"/>
      <w:r>
        <w:rPr>
          <w:rFonts w:cs="Times New Roman" w:ascii="Times New Roman" w:hAnsi="Times New Roman"/>
        </w:rPr>
        <w:t>- централизованные системы водоотведения (канализации), централизованные ливневые системы водоотведения;</w:t>
      </w:r>
    </w:p>
    <w:p>
      <w:pPr>
        <w:pStyle w:val="Normal"/>
        <w:ind w:firstLine="567"/>
        <w:jc w:val="both"/>
        <w:rPr/>
      </w:pPr>
      <w:r>
        <w:rPr>
          <w:rFonts w:cs="Times New Roman" w:ascii="Times New Roman" w:hAnsi="Times New Roman"/>
        </w:rPr>
        <w:t>-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pPr>
        <w:pStyle w:val="Normal"/>
        <w:ind w:firstLine="567"/>
        <w:jc w:val="both"/>
        <w:rPr/>
      </w:pPr>
      <w:r>
        <w:rPr>
          <w:rFonts w:cs="Times New Roman" w:ascii="Times New Roman" w:hAnsi="Times New Roman"/>
        </w:rPr>
        <w:t>-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w:t>
      </w:r>
    </w:p>
    <w:p>
      <w:pPr>
        <w:pStyle w:val="Normal"/>
        <w:ind w:firstLine="567"/>
        <w:jc w:val="both"/>
        <w:rPr/>
      </w:pPr>
      <w:r>
        <w:rPr>
          <w:rFonts w:cs="Times New Roman" w:ascii="Times New Roman" w:hAnsi="Times New Roman"/>
        </w:rPr>
        <w:t>-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pPr>
        <w:pStyle w:val="Normal"/>
        <w:ind w:firstLine="567"/>
        <w:jc w:val="both"/>
        <w:rPr/>
      </w:pPr>
      <w:r>
        <w:rPr>
          <w:rFonts w:cs="Times New Roman" w:ascii="Times New Roman" w:hAnsi="Times New Roman"/>
        </w:rPr>
        <w:t>Допускается движение транспортных средств по дорогам и стоянки на дорогах и в специально оборудованных местах, имеющих твердое покрытие.</w:t>
      </w:r>
    </w:p>
    <w:p>
      <w:pPr>
        <w:pStyle w:val="Normal"/>
        <w:ind w:firstLine="567"/>
        <w:jc w:val="both"/>
        <w:rPr/>
      </w:pPr>
      <w:r>
        <w:rPr>
          <w:rFonts w:cs="Times New Roman" w:ascii="Times New Roman" w:hAnsi="Times New Roman"/>
        </w:rPr>
        <w:t>Требуется сбор и отвод ливневых вод, канализование объектов либо устройство водонепроницаемых выгребов, озеленение древесно-кустарниковой растительностью, залужение, благоустройство территорий. Благоустройство территории возлагается на водопользователей, собственников земель, землевладельцев и землепользователей</w:t>
      </w:r>
    </w:p>
    <w:p>
      <w:pPr>
        <w:pStyle w:val="Normal"/>
        <w:ind w:firstLine="567"/>
        <w:jc w:val="both"/>
        <w:rPr/>
      </w:pPr>
      <w:r>
        <w:rPr>
          <w:rFonts w:cs="Times New Roman" w:ascii="Times New Roman" w:hAnsi="Times New Roman"/>
        </w:rPr>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канализации,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pPr>
        <w:pStyle w:val="Normal"/>
        <w:ind w:firstLine="567"/>
        <w:jc w:val="both"/>
        <w:rPr/>
      </w:pPr>
      <w:r>
        <w:rPr>
          <w:rFonts w:cs="Times New Roman" w:ascii="Times New Roman" w:hAnsi="Times New Roman"/>
        </w:rPr>
        <w:t>Собственники водных объектов должны осуществлять мероприятия по охране водных объектов, предотвращению их загрязнения, засорения и истощения вод, а также меры по ликвидации последствий указанных явлений.</w:t>
      </w:r>
    </w:p>
    <w:p>
      <w:pPr>
        <w:pStyle w:val="Normal"/>
        <w:ind w:firstLine="567"/>
        <w:jc w:val="both"/>
        <w:rPr/>
      </w:pPr>
      <w:r>
        <w:rPr>
          <w:rFonts w:cs="Times New Roman" w:ascii="Times New Roman" w:hAnsi="Times New Roman"/>
        </w:rPr>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
    <w:p>
      <w:pPr>
        <w:pStyle w:val="Normal"/>
        <w:ind w:firstLine="567"/>
        <w:jc w:val="both"/>
        <w:rPr/>
      </w:pPr>
      <w:r>
        <w:rPr>
          <w:rFonts w:cs="Times New Roman" w:ascii="Times New Roman" w:hAnsi="Times New Roman"/>
        </w:rPr>
        <w:t>10.2. Запрещённые виды использования территорий</w:t>
      </w:r>
    </w:p>
    <w:p>
      <w:pPr>
        <w:pStyle w:val="Normal"/>
        <w:ind w:firstLine="567"/>
        <w:jc w:val="both"/>
        <w:rPr/>
      </w:pPr>
      <w:r>
        <w:rPr>
          <w:rFonts w:cs="Times New Roman" w:ascii="Times New Roman" w:hAnsi="Times New Roman"/>
        </w:rPr>
        <w:t>Запрещён сброс в водные объекты и захоронение в них отходов производства и потребления. В границах водоохранных зон запрещено использование сточных вод в целях регулирования плодородия почв.</w:t>
      </w:r>
    </w:p>
    <w:p>
      <w:pPr>
        <w:pStyle w:val="Normal"/>
        <w:ind w:firstLine="567"/>
        <w:jc w:val="both"/>
        <w:rPr/>
      </w:pPr>
      <w:r>
        <w:rPr>
          <w:rFonts w:cs="Times New Roman" w:ascii="Times New Roman" w:hAnsi="Times New Roman"/>
        </w:rPr>
        <w:t>Запрещён сброс в водные объекты сточных вод, содержание в которых радиоактивных веществ, пестицидов, агрохимикатов и других опасных для здоровья человека веществ и соединений превышает нормативы допустимого воздействия на водные объекты.</w:t>
      </w:r>
    </w:p>
    <w:p>
      <w:pPr>
        <w:pStyle w:val="Normal"/>
        <w:ind w:firstLine="567"/>
        <w:jc w:val="both"/>
        <w:rPr/>
      </w:pPr>
      <w:r>
        <w:rPr>
          <w:rFonts w:cs="Times New Roman" w:ascii="Times New Roman" w:hAnsi="Times New Roman"/>
        </w:rPr>
        <w:t>Запрещено осуществление авиационных мер по борьбе с вредными организмами.</w:t>
      </w:r>
    </w:p>
    <w:p>
      <w:pPr>
        <w:pStyle w:val="Normal"/>
        <w:ind w:firstLine="567"/>
        <w:jc w:val="both"/>
        <w:rPr/>
      </w:pPr>
      <w:r>
        <w:rPr>
          <w:rFonts w:cs="Times New Roman" w:ascii="Times New Roman" w:hAnsi="Times New Roman"/>
        </w:rPr>
        <w:t>Запрещено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pPr>
        <w:pStyle w:val="Normal"/>
        <w:ind w:firstLine="567"/>
        <w:jc w:val="both"/>
        <w:rPr/>
      </w:pPr>
      <w:r>
        <w:rPr>
          <w:rFonts w:cs="Times New Roman" w:ascii="Times New Roman" w:hAnsi="Times New Roman"/>
        </w:rPr>
        <w:t>Запрещено проведение на основе ядерных и иных видов промышленных технологий взрывных работ, при которых выделяются радиоактивные и (или) токсичные вещества.</w:t>
      </w:r>
    </w:p>
    <w:p>
      <w:pPr>
        <w:pStyle w:val="Normal"/>
        <w:ind w:firstLine="567"/>
        <w:jc w:val="both"/>
        <w:rPr/>
      </w:pPr>
      <w:r>
        <w:rPr>
          <w:rFonts w:cs="Times New Roman" w:ascii="Times New Roman" w:hAnsi="Times New Roman"/>
        </w:rPr>
        <w:t>Запрещено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pPr>
        <w:pStyle w:val="Normal"/>
        <w:ind w:firstLine="567"/>
        <w:jc w:val="both"/>
        <w:rPr/>
      </w:pPr>
      <w:r>
        <w:rPr>
          <w:rFonts w:cs="Times New Roman" w:ascii="Times New Roman" w:hAnsi="Times New Roman"/>
        </w:rPr>
        <w:t>Запрещено размещение автозаправочных станций, складов горюче-смазочных материалов,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pPr>
        <w:pStyle w:val="Normal"/>
        <w:ind w:firstLine="567"/>
        <w:jc w:val="both"/>
        <w:rPr/>
      </w:pPr>
      <w:r>
        <w:rPr>
          <w:rFonts w:cs="Times New Roman" w:ascii="Times New Roman" w:hAnsi="Times New Roman"/>
        </w:rPr>
        <w:t>Запрещено размещение специализированных хранилищ пестицидов и агрохимикатов, применение пестицидов и агрохимикатов.</w:t>
      </w:r>
    </w:p>
    <w:p>
      <w:pPr>
        <w:pStyle w:val="Normal"/>
        <w:ind w:firstLine="567"/>
        <w:jc w:val="both"/>
        <w:rPr/>
      </w:pPr>
      <w:r>
        <w:rPr>
          <w:rFonts w:cs="Times New Roman" w:ascii="Times New Roman" w:hAnsi="Times New Roman"/>
        </w:rPr>
        <w:t>Запрещён сброс сточных, в том числе дренажных, вод.</w:t>
      </w:r>
    </w:p>
    <w:p>
      <w:pPr>
        <w:pStyle w:val="Normal"/>
        <w:ind w:firstLine="567"/>
        <w:jc w:val="both"/>
        <w:rPr/>
      </w:pPr>
      <w:r>
        <w:rPr>
          <w:rFonts w:cs="Times New Roman" w:ascii="Times New Roman" w:hAnsi="Times New Roman"/>
        </w:rPr>
        <w:t>Запрещена разведка и добыча общераспространенных полезных ископаемых.</w:t>
      </w:r>
    </w:p>
    <w:p>
      <w:pPr>
        <w:pStyle w:val="Normal"/>
        <w:ind w:firstLine="567"/>
        <w:jc w:val="both"/>
        <w:rPr/>
      </w:pPr>
      <w:r>
        <w:rPr>
          <w:rFonts w:cs="Times New Roman" w:ascii="Times New Roman" w:hAnsi="Times New Roman"/>
        </w:rPr>
        <w:t>Запрещено складирование навоза и мусора, использование навозных стоков и сточных вод для удобрения почв.</w:t>
      </w:r>
    </w:p>
    <w:p>
      <w:pPr>
        <w:pStyle w:val="Normal"/>
        <w:ind w:firstLine="567"/>
        <w:jc w:val="both"/>
        <w:rPr/>
      </w:pPr>
      <w:r>
        <w:rPr>
          <w:rFonts w:cs="Times New Roman" w:ascii="Times New Roman" w:hAnsi="Times New Roman"/>
        </w:rPr>
        <w:t>11. Градостроительные режимы использования территорий в прибрежной защитной полосе</w:t>
      </w:r>
    </w:p>
    <w:p>
      <w:pPr>
        <w:pStyle w:val="Normal"/>
        <w:ind w:firstLine="567"/>
        <w:jc w:val="both"/>
        <w:rPr/>
      </w:pPr>
      <w:r>
        <w:rPr>
          <w:rFonts w:cs="Times New Roman" w:ascii="Times New Roman" w:hAnsi="Times New Roman"/>
        </w:rPr>
        <w:t>11.1. Условия использования и содержания территорий</w:t>
      </w:r>
    </w:p>
    <w:p>
      <w:pPr>
        <w:pStyle w:val="Normal"/>
        <w:ind w:firstLine="567"/>
        <w:jc w:val="both"/>
        <w:rPr/>
      </w:pPr>
      <w:r>
        <w:rPr>
          <w:rFonts w:cs="Times New Roman" w:ascii="Times New Roman" w:hAnsi="Times New Roman"/>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pPr>
        <w:pStyle w:val="Normal"/>
        <w:ind w:firstLine="567"/>
        <w:jc w:val="both"/>
        <w:rPr/>
      </w:pPr>
      <w:r>
        <w:rPr>
          <w:rFonts w:cs="Times New Roman" w:ascii="Times New Roman" w:hAnsi="Times New Roman"/>
        </w:rPr>
        <w:t>Допускается выморачивание, вынос, ликвидация животноводческих, птицеводческих и других предприятий, загрязняющих водные объекты.</w:t>
      </w:r>
    </w:p>
    <w:p>
      <w:pPr>
        <w:pStyle w:val="Normal"/>
        <w:ind w:firstLine="567"/>
        <w:jc w:val="both"/>
        <w:rPr/>
      </w:pPr>
      <w:r>
        <w:rPr>
          <w:rFonts w:cs="Times New Roman" w:ascii="Times New Roman" w:hAnsi="Times New Roman"/>
        </w:rPr>
        <w:t>11.2. Запрещённые виды использования территорий</w:t>
      </w:r>
    </w:p>
    <w:p>
      <w:pPr>
        <w:pStyle w:val="Normal"/>
        <w:ind w:firstLine="567"/>
        <w:jc w:val="both"/>
        <w:rPr/>
      </w:pPr>
      <w:r>
        <w:rPr>
          <w:rFonts w:cs="Times New Roman" w:ascii="Times New Roman" w:hAnsi="Times New Roman"/>
        </w:rPr>
        <w:t>Дополнительно к запрещённым видам использования территорий в водоохранной зоне в прибрежной защитной полосе запрещена распашка земель, размещение отвалов размываемых грунтов, выпас сельскохозяйственных животных и организация для них летних лагерей, ванн.</w:t>
      </w:r>
    </w:p>
    <w:p>
      <w:pPr>
        <w:pStyle w:val="Normal"/>
        <w:ind w:firstLine="567"/>
        <w:jc w:val="both"/>
        <w:rPr/>
      </w:pPr>
      <w:r>
        <w:rPr>
          <w:rFonts w:cs="Times New Roman" w:ascii="Times New Roman" w:hAnsi="Times New Roman"/>
        </w:rPr>
        <w:t>12. Градостроительные режимы использования территорий в береговой полосе</w:t>
      </w:r>
    </w:p>
    <w:p>
      <w:pPr>
        <w:pStyle w:val="Normal"/>
        <w:ind w:firstLine="567"/>
        <w:jc w:val="both"/>
        <w:rPr/>
      </w:pPr>
      <w:r>
        <w:rPr>
          <w:rFonts w:cs="Times New Roman" w:ascii="Times New Roman" w:hAnsi="Times New Roman"/>
        </w:rPr>
        <w:t>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если иное не предусмотрено федеральным законодательством.</w:t>
      </w:r>
    </w:p>
    <w:p>
      <w:pPr>
        <w:pStyle w:val="Normal"/>
        <w:ind w:firstLine="567"/>
        <w:jc w:val="both"/>
        <w:rPr/>
      </w:pPr>
      <w:bookmarkStart w:id="273" w:name="Par113"/>
      <w:bookmarkEnd w:id="273"/>
      <w:r>
        <w:rPr>
          <w:rFonts w:cs="Times New Roman" w:ascii="Times New Roman" w:hAnsi="Times New Roman"/>
        </w:rPr>
        <w:t>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федеральным законодательством.</w:t>
      </w:r>
    </w:p>
    <w:p>
      <w:pPr>
        <w:pStyle w:val="Normal"/>
        <w:ind w:firstLine="567"/>
        <w:jc w:val="both"/>
        <w:rPr/>
      </w:pPr>
      <w:r>
        <w:rPr>
          <w:rFonts w:cs="Times New Roman" w:ascii="Times New Roman" w:hAnsi="Times New Roman"/>
        </w:rPr>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уполномоченным федеральным органом исполнительной власти, а также исходя из устанавливаемых органами местного самоуправления правил использования водных объектов для личных и бытовых нужд.</w:t>
      </w:r>
    </w:p>
    <w:p>
      <w:pPr>
        <w:pStyle w:val="Normal"/>
        <w:ind w:firstLine="567"/>
        <w:jc w:val="both"/>
        <w:rPr/>
      </w:pPr>
      <w:r>
        <w:rPr>
          <w:rFonts w:cs="Times New Roman" w:ascii="Times New Roman" w:hAnsi="Times New Roman"/>
        </w:rPr>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Карачаево-Черкесской Республики.</w:t>
      </w:r>
    </w:p>
    <w:p>
      <w:pPr>
        <w:pStyle w:val="Normal"/>
        <w:ind w:firstLine="567"/>
        <w:jc w:val="both"/>
        <w:rPr/>
      </w:pPr>
      <w:r>
        <w:rPr>
          <w:rFonts w:cs="Times New Roman" w:ascii="Times New Roman" w:hAnsi="Times New Roman"/>
        </w:rPr>
        <w:t>Информация об ограничении водопользования на водных объектах общего пользования предоставляется гражданам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pPr>
        <w:pStyle w:val="Normal"/>
        <w:ind w:firstLine="567"/>
        <w:jc w:val="both"/>
        <w:rPr/>
      </w:pPr>
      <w:r>
        <w:rPr>
          <w:rFonts w:cs="Times New Roman" w:ascii="Times New Roman" w:hAnsi="Times New Roman"/>
        </w:rPr>
        <w:t>Береговая полоса болот, ледников, снежников, природных выходов подземных вод (родников, гейзеров) и иных предусмотренных федеральными законами водных объектов не определяется.</w:t>
      </w:r>
    </w:p>
    <w:p>
      <w:pPr>
        <w:pStyle w:val="Normal"/>
        <w:ind w:firstLine="567"/>
        <w:jc w:val="both"/>
        <w:rPr/>
      </w:pPr>
      <w:r>
        <w:rPr>
          <w:rFonts w:cs="Times New Roman" w:ascii="Times New Roman" w:hAnsi="Times New Roman"/>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pPr>
        <w:pStyle w:val="Normal"/>
        <w:ind w:firstLine="567"/>
        <w:jc w:val="both"/>
        <w:rPr/>
      </w:pPr>
      <w:r>
        <w:rPr>
          <w:rFonts w:cs="Times New Roman" w:ascii="Times New Roman" w:hAnsi="Times New Roman"/>
        </w:rPr>
        <w:t>13. Регламенты использования территорий зоны затопления паводком 1–10 % обеспеченности</w:t>
      </w:r>
    </w:p>
    <w:p>
      <w:pPr>
        <w:pStyle w:val="Normal"/>
        <w:ind w:firstLine="567"/>
        <w:jc w:val="both"/>
        <w:rPr/>
      </w:pPr>
      <w:r>
        <w:rPr>
          <w:rFonts w:cs="Times New Roman" w:ascii="Times New Roman" w:hAnsi="Times New Roman"/>
        </w:rPr>
        <w:t>На территориях в зонах затопления паводком 1–10 % обеспеченности не допускается:</w:t>
      </w:r>
    </w:p>
    <w:p>
      <w:pPr>
        <w:pStyle w:val="Normal"/>
        <w:ind w:firstLine="567"/>
        <w:jc w:val="both"/>
        <w:rPr/>
      </w:pPr>
      <w:r>
        <w:rPr>
          <w:rFonts w:cs="Times New Roman" w:ascii="Times New Roman" w:hAnsi="Times New Roman"/>
        </w:rPr>
        <w:t>- осуществление отводов земельных участков под капитальное строительство (в том числе и под усадебную застройку резидентов) без осуществления инженерных мероприятий по защите территории от затопления паводками 1 % обеспеченности;</w:t>
      </w:r>
    </w:p>
    <w:p>
      <w:pPr>
        <w:pStyle w:val="Normal"/>
        <w:ind w:firstLine="567"/>
        <w:jc w:val="both"/>
        <w:rPr/>
      </w:pPr>
      <w:r>
        <w:rPr>
          <w:rFonts w:cs="Times New Roman" w:ascii="Times New Roman" w:hAnsi="Times New Roman"/>
        </w:rPr>
        <w:t>- осуществление отводов земельных участков под стадионы, парки и другие озелененные территории общего пользования без осуществления инженерных мероприятий по защите территории от затопления паводками 10 % обеспеченности;</w:t>
      </w:r>
    </w:p>
    <w:p>
      <w:pPr>
        <w:pStyle w:val="Normal"/>
        <w:ind w:firstLine="567"/>
        <w:jc w:val="both"/>
        <w:rPr/>
      </w:pPr>
      <w:r>
        <w:rPr>
          <w:rFonts w:cs="Times New Roman" w:ascii="Times New Roman" w:hAnsi="Times New Roman"/>
        </w:rPr>
        <w:t>- заключение договора аренды земельного участка без предварительного страхования всего имущества на случай затопления и подтопления и включения в договор пункта о том, что в случае паводка уровнем выше уровня паводка 1 % обеспеченности, администрация свободной экономической зоны не несет ответственности за причиненный стихией материальный ущерб.</w:t>
      </w:r>
    </w:p>
    <w:p>
      <w:pPr>
        <w:pStyle w:val="Normal"/>
        <w:ind w:firstLine="567"/>
        <w:jc w:val="both"/>
        <w:rPr/>
      </w:pPr>
      <w:r>
        <w:rPr>
          <w:rFonts w:cs="Times New Roman" w:ascii="Times New Roman" w:hAnsi="Times New Roman"/>
        </w:rPr>
        <w:t>На территориях в зонах затопления паводком 1–10 % обеспеченности необходимо:</w:t>
      </w:r>
    </w:p>
    <w:p>
      <w:pPr>
        <w:pStyle w:val="Normal"/>
        <w:ind w:firstLine="567"/>
        <w:jc w:val="both"/>
        <w:rPr/>
      </w:pPr>
      <w:r>
        <w:rPr>
          <w:rFonts w:cs="Times New Roman" w:ascii="Times New Roman" w:hAnsi="Times New Roman"/>
        </w:rPr>
        <w:t>- выполнение мероприятий по защите от затопления паводком 1-10 % обеспеченности на основании технико-экономического обоснования вариантов инженерной защиты (путем искусственного повышения территории, строительства дамб обвалования или частичного искусственного повышения территории и строительства дамб обвалования);</w:t>
      </w:r>
    </w:p>
    <w:p>
      <w:pPr>
        <w:pStyle w:val="Normal"/>
        <w:ind w:firstLine="567"/>
        <w:jc w:val="both"/>
        <w:rPr/>
      </w:pPr>
      <w:r>
        <w:rPr>
          <w:rFonts w:cs="Times New Roman" w:ascii="Times New Roman" w:hAnsi="Times New Roman"/>
        </w:rPr>
        <w:t>- гидравлический расчет и выполнение крепления прирусловых участков откосов искусственно повышаемых территорий;</w:t>
      </w:r>
    </w:p>
    <w:p>
      <w:pPr>
        <w:pStyle w:val="Normal"/>
        <w:ind w:firstLine="567"/>
        <w:jc w:val="both"/>
        <w:rPr/>
      </w:pPr>
      <w:r>
        <w:rPr>
          <w:rFonts w:cs="Times New Roman" w:ascii="Times New Roman" w:hAnsi="Times New Roman"/>
        </w:rPr>
        <w:t>- организация поверхностного стока со всего бассейна методом перехвата вод, не требующих очистки, прокладкой водоотводных и нагорных канав;</w:t>
      </w:r>
    </w:p>
    <w:p>
      <w:pPr>
        <w:pStyle w:val="Normal"/>
        <w:ind w:firstLine="567"/>
        <w:jc w:val="both"/>
        <w:rPr/>
      </w:pPr>
      <w:r>
        <w:rPr>
          <w:rFonts w:cs="Times New Roman" w:ascii="Times New Roman" w:hAnsi="Times New Roman"/>
        </w:rPr>
        <w:t>- сбор и очистка поверхностного стока с территорий с твердым покрытием;</w:t>
      </w:r>
    </w:p>
    <w:p>
      <w:pPr>
        <w:pStyle w:val="Normal"/>
        <w:ind w:firstLine="567"/>
        <w:jc w:val="both"/>
        <w:rPr/>
      </w:pPr>
      <w:r>
        <w:rPr>
          <w:rFonts w:cs="Times New Roman" w:ascii="Times New Roman" w:hAnsi="Times New Roman"/>
        </w:rPr>
        <w:t>- сброс поверхностных вод предусматривать выше уровня паводка 1 % обеспеченности;</w:t>
      </w:r>
    </w:p>
    <w:p>
      <w:pPr>
        <w:pStyle w:val="Normal"/>
        <w:ind w:firstLine="567"/>
        <w:jc w:val="both"/>
        <w:rPr/>
      </w:pPr>
      <w:r>
        <w:rPr>
          <w:rFonts w:cs="Times New Roman" w:ascii="Times New Roman" w:hAnsi="Times New Roman"/>
        </w:rPr>
        <w:t>- дренирование территории.</w:t>
      </w:r>
    </w:p>
    <w:p>
      <w:pPr>
        <w:pStyle w:val="Normal"/>
        <w:ind w:firstLine="567"/>
        <w:jc w:val="both"/>
        <w:rPr/>
      </w:pPr>
      <w:r>
        <w:rPr>
          <w:rFonts w:cs="Times New Roman" w:ascii="Times New Roman" w:hAnsi="Times New Roman"/>
        </w:rPr>
        <w:t>В отношении инженерно-коммуникационных сетей, головных магистральных сооружений необходимо:</w:t>
      </w:r>
    </w:p>
    <w:p>
      <w:pPr>
        <w:pStyle w:val="Normal"/>
        <w:ind w:firstLine="567"/>
        <w:jc w:val="both"/>
        <w:rPr/>
      </w:pPr>
      <w:r>
        <w:rPr>
          <w:rFonts w:cs="Times New Roman" w:ascii="Times New Roman" w:hAnsi="Times New Roman"/>
        </w:rPr>
        <w:t>- иметь всем транспортным и инженерно-эксплуатационным службам ежегодно разрабатываемый план противопаводковых мероприятий и осуществлять его;</w:t>
      </w:r>
    </w:p>
    <w:p>
      <w:pPr>
        <w:pStyle w:val="Normal"/>
        <w:ind w:firstLine="567"/>
        <w:jc w:val="both"/>
        <w:rPr/>
      </w:pPr>
      <w:r>
        <w:rPr>
          <w:rFonts w:cs="Times New Roman" w:ascii="Times New Roman" w:hAnsi="Times New Roman"/>
        </w:rPr>
        <w:t>- максимальное конструктивное и гидроизоляционное укрепление инженерно-коммуникационных сетей и головных магистральных сооружений;</w:t>
      </w:r>
    </w:p>
    <w:p>
      <w:pPr>
        <w:pStyle w:val="Normal"/>
        <w:ind w:firstLine="567"/>
        <w:jc w:val="both"/>
        <w:rPr/>
      </w:pPr>
      <w:r>
        <w:rPr>
          <w:rFonts w:cs="Times New Roman" w:ascii="Times New Roman" w:hAnsi="Times New Roman"/>
        </w:rPr>
        <w:t>- проведение противопаводковых мероприятий в водоохранных зонах водозаборов.</w:t>
      </w:r>
    </w:p>
    <w:p>
      <w:pPr>
        <w:pStyle w:val="Normal"/>
        <w:ind w:firstLine="567"/>
        <w:jc w:val="both"/>
        <w:rPr/>
      </w:pPr>
      <w:r>
        <w:rPr>
          <w:rFonts w:cs="Times New Roman" w:ascii="Times New Roman" w:hAnsi="Times New Roman"/>
        </w:rPr>
        <w:t>14. Регламенты использования территорий зоны подтопления грунтовыми водами</w:t>
      </w:r>
    </w:p>
    <w:p>
      <w:pPr>
        <w:pStyle w:val="Normal"/>
        <w:ind w:firstLine="567"/>
        <w:jc w:val="both"/>
        <w:rPr/>
      </w:pPr>
      <w:r>
        <w:rPr>
          <w:rFonts w:cs="Times New Roman" w:ascii="Times New Roman" w:hAnsi="Times New Roman"/>
        </w:rPr>
        <w:t>На территориях в зонах подтопления грунтовыми водами не допускается осуществление отводов земельных участков под капитальное строительство (в том числе и под усадебную застройку резидентов) без осуществления инженерных мероприятий по защите территории от подтопления в случае заболоченности территории, выхода на поверхность грунтовых и подпочвенных вод на поверхность.</w:t>
      </w:r>
    </w:p>
    <w:p>
      <w:pPr>
        <w:pStyle w:val="Normal"/>
        <w:ind w:firstLine="567"/>
        <w:jc w:val="both"/>
        <w:rPr/>
      </w:pPr>
      <w:r>
        <w:rPr>
          <w:rFonts w:cs="Times New Roman" w:ascii="Times New Roman" w:hAnsi="Times New Roman"/>
        </w:rPr>
        <w:t>Необходимо выполнение следующих условий использования территорий:</w:t>
      </w:r>
    </w:p>
    <w:p>
      <w:pPr>
        <w:pStyle w:val="Normal"/>
        <w:ind w:firstLine="567"/>
        <w:jc w:val="both"/>
        <w:rPr/>
      </w:pPr>
      <w:r>
        <w:rPr>
          <w:rFonts w:cs="Times New Roman" w:ascii="Times New Roman" w:hAnsi="Times New Roman"/>
        </w:rPr>
        <w:t>- на территориях с высоким стоянием грунтовых вод, на заболоченных участках следует предусматривать искусственное повышение территории, понижение уровня грунтовых вод в зоне капитальной застройки путем устройства закрытых дренажей;</w:t>
      </w:r>
    </w:p>
    <w:p>
      <w:pPr>
        <w:pStyle w:val="Normal"/>
        <w:ind w:firstLine="567"/>
        <w:jc w:val="both"/>
        <w:rPr/>
      </w:pPr>
      <w:r>
        <w:rPr>
          <w:rFonts w:cs="Times New Roman" w:ascii="Times New Roman" w:hAnsi="Times New Roman"/>
        </w:rPr>
        <w:t>- на территории усадебной застройки резидентов, на территориях стадионов, парков и других озелененных территорий общего пользования допускается открытая осушительная сеть;</w:t>
      </w:r>
    </w:p>
    <w:p>
      <w:pPr>
        <w:pStyle w:val="Normal"/>
        <w:ind w:firstLine="567"/>
        <w:jc w:val="both"/>
        <w:rPr/>
      </w:pPr>
      <w:r>
        <w:rPr>
          <w:rFonts w:cs="Times New Roman" w:ascii="Times New Roman" w:hAnsi="Times New Roman"/>
        </w:rPr>
        <w:t>- проведение мероприятий обеспечивающих понижение уровня грунтовых вод на территории капитальной застройки - не менее 2 м от проектной отметки поверхности; на территории стадионов, парков, скверов и других зеленых насаждений - не менее 1 м;</w:t>
      </w:r>
    </w:p>
    <w:p>
      <w:pPr>
        <w:pStyle w:val="Normal"/>
        <w:ind w:firstLine="567"/>
        <w:jc w:val="both"/>
        <w:rPr/>
      </w:pPr>
      <w:r>
        <w:rPr>
          <w:rFonts w:cs="Times New Roman" w:ascii="Times New Roman" w:hAnsi="Times New Roman"/>
        </w:rPr>
        <w:t>- организация и очистка поверхностного стока.</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74" w:name="_Toc424230670"/>
      <w:bookmarkEnd w:id="274"/>
      <w:r>
        <w:rPr>
          <w:rFonts w:cs="Times New Roman"/>
        </w:rPr>
        <w:t>Статья 33. Градостроительные режимы использования территорий в зонах, формируемых требованиями пожарной безопасности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Зоны, формируемые требованиями пожарной безопасности, образуются при реализации требований, установленных Федеральным законом Российской Федерации от 22 июля 2008 года № 123-ФЗ ("Технический регламент о требованиях пожарной безопасности") по созданию системы обеспечения пожарной безопасности.</w:t>
      </w:r>
    </w:p>
    <w:p>
      <w:pPr>
        <w:pStyle w:val="Normal"/>
        <w:ind w:firstLine="567"/>
        <w:jc w:val="both"/>
        <w:rPr/>
      </w:pPr>
      <w:r>
        <w:rPr>
          <w:rFonts w:cs="Times New Roman" w:ascii="Times New Roman" w:hAnsi="Times New Roman"/>
        </w:rPr>
        <w:t>При реализации система обеспечения пожарной безопасности в рамках мероприятий системы противопожарной защиты на территории ВТРК «Архыз» проводится противопожарное обустройство территории.</w:t>
      </w:r>
    </w:p>
    <w:p>
      <w:pPr>
        <w:pStyle w:val="Normal"/>
        <w:ind w:firstLine="567"/>
        <w:jc w:val="both"/>
        <w:rPr/>
      </w:pPr>
      <w:r>
        <w:rPr>
          <w:rFonts w:cs="Times New Roman" w:ascii="Times New Roman" w:hAnsi="Times New Roman"/>
        </w:rPr>
        <w:t>2. На территории ВТРК «Архыз» формируются противопожарные расстояния между зданиями, сооружениями, которые должны обеспечивать нераспространение пожара на соседние здания, сооружения. Допускается уменьшать указанные в таблицах 12, 15, 17, 18, 19 и 20 приложения к Федеральному закону от 22 июля 2008 года № 123-ФЗ противопожарные расстояния от зданий, сооружений и технологических установок до граничащих с ними объектов защиты (за исключением жилых, общественных зданий, детских и спортивных площадок) при применении противопожарных преград, предусмотренных статьей 37 Федерального закона № 123-ФЗ. При этом расчетное значение пожарного риска не должно превышать допустимое значение пожарного риска, установленное статьей 93 Федерального закона № 123-ФЗ.</w:t>
      </w:r>
    </w:p>
    <w:p>
      <w:pPr>
        <w:pStyle w:val="Normal"/>
        <w:ind w:firstLine="567"/>
        <w:jc w:val="both"/>
        <w:rPr/>
      </w:pPr>
      <w:r>
        <w:rPr>
          <w:rFonts w:cs="Times New Roman" w:ascii="Times New Roman" w:hAnsi="Times New Roman"/>
        </w:rPr>
        <w:t>3. Противопожарные расстояния должны обеспечивать нераспространение пожара:</w:t>
      </w:r>
    </w:p>
    <w:p>
      <w:pPr>
        <w:pStyle w:val="Normal"/>
        <w:ind w:firstLine="567"/>
        <w:jc w:val="both"/>
        <w:rPr/>
      </w:pPr>
      <w:r>
        <w:rPr>
          <w:rFonts w:cs="Times New Roman" w:ascii="Times New Roman" w:hAnsi="Times New Roman"/>
        </w:rPr>
        <w:t>1) от лесных насаждений в лесничествах (лесопарках) до зданий и сооружений, расположенных:</w:t>
      </w:r>
    </w:p>
    <w:p>
      <w:pPr>
        <w:pStyle w:val="Normal"/>
        <w:ind w:firstLine="567"/>
        <w:jc w:val="both"/>
        <w:rPr/>
      </w:pPr>
      <w:r>
        <w:rPr>
          <w:rFonts w:cs="Times New Roman" w:ascii="Times New Roman" w:hAnsi="Times New Roman"/>
        </w:rPr>
        <w:t>а) вне территорий лесничеств (лесопарков);</w:t>
      </w:r>
    </w:p>
    <w:p>
      <w:pPr>
        <w:pStyle w:val="Normal"/>
        <w:ind w:firstLine="567"/>
        <w:jc w:val="both"/>
        <w:rPr/>
      </w:pPr>
      <w:r>
        <w:rPr>
          <w:rFonts w:cs="Times New Roman" w:ascii="Times New Roman" w:hAnsi="Times New Roman"/>
        </w:rPr>
        <w:t>б) на территориях лесничеств (лесопарков);</w:t>
      </w:r>
    </w:p>
    <w:p>
      <w:pPr>
        <w:pStyle w:val="Normal"/>
        <w:ind w:firstLine="567"/>
        <w:jc w:val="both"/>
        <w:rPr/>
      </w:pPr>
      <w:r>
        <w:rPr>
          <w:rFonts w:cs="Times New Roman" w:ascii="Times New Roman" w:hAnsi="Times New Roman"/>
        </w:rPr>
        <w:t>2) от лесных насаждений вне лесничеств (лесопарков) до зданий и сооружений.</w:t>
      </w:r>
    </w:p>
    <w:p>
      <w:pPr>
        <w:pStyle w:val="Normal"/>
        <w:ind w:firstLine="567"/>
        <w:jc w:val="both"/>
        <w:rPr/>
      </w:pPr>
      <w:r>
        <w:rPr>
          <w:rFonts w:cs="Times New Roman" w:ascii="Times New Roman" w:hAnsi="Times New Roman"/>
        </w:rPr>
        <w:t>4. Противопожарное обустройство лесов включает:</w:t>
      </w:r>
    </w:p>
    <w:p>
      <w:pPr>
        <w:pStyle w:val="Normal"/>
        <w:ind w:firstLine="567"/>
        <w:jc w:val="both"/>
        <w:rPr/>
      </w:pPr>
      <w:r>
        <w:rPr>
          <w:rFonts w:cs="Times New Roman" w:ascii="Times New Roman" w:hAnsi="Times New Roman"/>
        </w:rPr>
        <w:t>1) разграничение территории лесов по способам обнаружения и тушения лесных пожаров на зоны наземной и авиационной охраны;</w:t>
      </w:r>
    </w:p>
    <w:p>
      <w:pPr>
        <w:pStyle w:val="Normal"/>
        <w:ind w:firstLine="567"/>
        <w:jc w:val="both"/>
        <w:rPr/>
      </w:pPr>
      <w:r>
        <w:rPr>
          <w:rFonts w:cs="Times New Roman" w:ascii="Times New Roman" w:hAnsi="Times New Roman"/>
        </w:rPr>
        <w:t>2) распределение лесов по классам их природной пожарной опасности;</w:t>
      </w:r>
    </w:p>
    <w:p>
      <w:pPr>
        <w:pStyle w:val="Normal"/>
        <w:ind w:firstLine="567"/>
        <w:jc w:val="both"/>
        <w:rPr/>
      </w:pPr>
      <w:r>
        <w:rPr>
          <w:rFonts w:cs="Times New Roman" w:ascii="Times New Roman" w:hAnsi="Times New Roman"/>
        </w:rPr>
        <w:t>3) строительство, реконструкцию и содержание дорог противопожарного назначения;</w:t>
      </w:r>
    </w:p>
    <w:p>
      <w:pPr>
        <w:pStyle w:val="Normal"/>
        <w:ind w:firstLine="567"/>
        <w:jc w:val="both"/>
        <w:rPr/>
      </w:pPr>
      <w:r>
        <w:rPr>
          <w:rFonts w:cs="Times New Roman" w:ascii="Times New Roman" w:hAnsi="Times New Roman"/>
        </w:rPr>
        <w:t>4) устройство посадочных площадок для самолетов, вертолетов, используемых в целях проведения авиационных работ по охране и защите лесов;</w:t>
      </w:r>
    </w:p>
    <w:p>
      <w:pPr>
        <w:pStyle w:val="Normal"/>
        <w:ind w:firstLine="567"/>
        <w:jc w:val="both"/>
        <w:rPr/>
      </w:pPr>
      <w:r>
        <w:rPr>
          <w:rFonts w:cs="Times New Roman" w:ascii="Times New Roman" w:hAnsi="Times New Roman"/>
        </w:rPr>
        <w:t>5) прокладку просек, противопожарных разрывов;</w:t>
      </w:r>
    </w:p>
    <w:p>
      <w:pPr>
        <w:pStyle w:val="Normal"/>
        <w:ind w:firstLine="567"/>
        <w:jc w:val="both"/>
        <w:rPr/>
      </w:pPr>
      <w:r>
        <w:rPr>
          <w:rFonts w:cs="Times New Roman" w:ascii="Times New Roman" w:hAnsi="Times New Roman"/>
        </w:rPr>
        <w:t>6) устройство пожарных водоемов и подъездов к источникам воды;</w:t>
      </w:r>
    </w:p>
    <w:p>
      <w:pPr>
        <w:pStyle w:val="Normal"/>
        <w:ind w:firstLine="567"/>
        <w:jc w:val="both"/>
        <w:rPr/>
      </w:pPr>
      <w:r>
        <w:rPr>
          <w:rFonts w:cs="Times New Roman" w:ascii="Times New Roman" w:hAnsi="Times New Roman"/>
        </w:rPr>
        <w:t>7) другие меры.</w:t>
      </w:r>
    </w:p>
    <w:p>
      <w:pPr>
        <w:pStyle w:val="Normal"/>
        <w:ind w:firstLine="567"/>
        <w:jc w:val="both"/>
        <w:rPr/>
      </w:pPr>
      <w:r>
        <w:rPr>
          <w:rFonts w:cs="Times New Roman" w:ascii="Times New Roman" w:hAnsi="Times New Roman"/>
        </w:rPr>
        <w:t>5. Запрещается использовать противопожарные расстояния между зданиями, сооружениями и строениями для складирования материалов, оборудования и тары, для стоянки транспорта и строительства (установки) зданий и сооружений, для разведения костров и сжигания отходов и тары.</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75" w:name="_Toc424230671"/>
      <w:bookmarkEnd w:id="275"/>
      <w:r>
        <w:rPr>
          <w:rFonts w:eastAsia="Times New Roman" w:cs="Times New Roman"/>
        </w:rPr>
        <w:t>Статья 34. Правовой режим использования земельных участков в границах территории объекта археологического наследия</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szCs w:val="28"/>
        </w:rPr>
        <w:t>1. Действие градостроительного режима не распространяется на земельные участки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pPr>
        <w:pStyle w:val="Normal"/>
        <w:ind w:firstLine="567"/>
        <w:jc w:val="both"/>
        <w:rPr/>
      </w:pPr>
      <w:r>
        <w:rPr>
          <w:rFonts w:eastAsia="Times New Roman" w:cs="Times New Roman" w:ascii="Times New Roman" w:hAnsi="Times New Roman"/>
          <w:szCs w:val="28"/>
        </w:rPr>
        <w:t xml:space="preserve">2. </w:t>
      </w:r>
      <w:r>
        <w:rPr>
          <w:rFonts w:cs="Times New Roman" w:ascii="Times New Roman" w:hAnsi="Times New Roman"/>
        </w:rPr>
        <w:t>В границах территорий объектов культурного наследия действуют режимы использования земельных участков, которые должны быть разработаны в соответствии с Федеральным законом от 25 июня 2002 года № 73-ФЗ "Об объектах культурного наследия (памятниках истории и культуры) народов Российской Федерации", Законом Карачаево-Черкесской республики об объектах культурного наследия (памятниках истории и культуры) народов Российской Федерации на территории Карачаево-Черкесской республики от 20.07.2006 года № 36-РЗ (в ред. Законов КЧР от 12.11.2007 № 72-РЗ, от 29.12.2009 № 94-РЗ) и утверждены в соответствии с нормативно-правовыми актами уполномоченного органа охраны объектов культурного наследия Карачаево-Черкесской Республики</w:t>
      </w:r>
      <w:r>
        <w:rPr>
          <w:rFonts w:eastAsia="Times New Roman" w:cs="Times New Roman" w:ascii="Times New Roman" w:hAnsi="Times New Roman"/>
          <w:szCs w:val="28"/>
        </w:rPr>
        <w:t>.</w:t>
      </w:r>
    </w:p>
    <w:p>
      <w:pPr>
        <w:pStyle w:val="Normal"/>
        <w:ind w:firstLine="567"/>
        <w:jc w:val="both"/>
        <w:rPr/>
      </w:pPr>
      <w:r>
        <w:rPr>
          <w:rFonts w:eastAsia="Times New Roman" w:cs="Times New Roman" w:ascii="Times New Roman" w:hAnsi="Times New Roman"/>
          <w:szCs w:val="28"/>
        </w:rPr>
        <w:t>3. Для территории объекта археологического наследия в соответствии со статьями 35, 36, 40, 45, 45-1, 45-2, 52, 53 Федерального закона от 25 июня 2002 года № 73-ФЗ "Об объектах культурного наследия (памятниках истории и культуры) народов Российской Федерации" устанавливается следующий режим использования:</w:t>
      </w:r>
    </w:p>
    <w:p>
      <w:pPr>
        <w:pStyle w:val="Normal"/>
        <w:ind w:firstLine="567"/>
        <w:jc w:val="both"/>
        <w:rPr/>
      </w:pPr>
      <w:r>
        <w:rPr>
          <w:rFonts w:eastAsia="Times New Roman" w:cs="Times New Roman" w:ascii="Times New Roman" w:hAnsi="Times New Roman"/>
        </w:rPr>
        <w:t>Запрещается:</w:t>
      </w:r>
    </w:p>
    <w:p>
      <w:pPr>
        <w:pStyle w:val="ListParagraph"/>
        <w:numPr>
          <w:ilvl w:val="0"/>
          <w:numId w:val="7"/>
        </w:numPr>
        <w:spacing w:lineRule="auto" w:line="240" w:before="0" w:after="0"/>
        <w:ind w:left="0" w:firstLine="567"/>
        <w:jc w:val="both"/>
        <w:rPr/>
      </w:pPr>
      <w:r>
        <w:rPr>
          <w:rFonts w:eastAsia="Times New Roman" w:ascii="Times New Roman" w:hAnsi="Times New Roman"/>
          <w:sz w:val="24"/>
          <w:szCs w:val="24"/>
          <w:lang w:eastAsia="ru-RU"/>
        </w:rPr>
        <w:t>проектирование и проведение землеустроительных, земляных, строительных, мелиоративных, хозяйственных и иных работ на территории объекта культурного наследия без согласования уполномоченного государственного органа охраны объектов культурного наследия.</w:t>
      </w:r>
    </w:p>
    <w:p>
      <w:pPr>
        <w:pStyle w:val="Normal"/>
        <w:ind w:firstLine="567"/>
        <w:jc w:val="both"/>
        <w:rPr/>
      </w:pPr>
      <w:r>
        <w:rPr>
          <w:rFonts w:eastAsia="Times New Roman" w:cs="Times New Roman" w:ascii="Times New Roman" w:hAnsi="Times New Roman"/>
        </w:rPr>
        <w:t>Разрешается:</w:t>
      </w:r>
    </w:p>
    <w:p>
      <w:pPr>
        <w:pStyle w:val="ListParagraph"/>
        <w:numPr>
          <w:ilvl w:val="0"/>
          <w:numId w:val="8"/>
        </w:numPr>
        <w:spacing w:lineRule="auto" w:line="240" w:before="0" w:after="0"/>
        <w:ind w:left="0" w:firstLine="567"/>
        <w:jc w:val="both"/>
        <w:rPr/>
      </w:pPr>
      <w:r>
        <w:rPr>
          <w:rFonts w:eastAsia="Times New Roman" w:ascii="Times New Roman" w:hAnsi="Times New Roman"/>
          <w:sz w:val="24"/>
          <w:szCs w:val="24"/>
          <w:lang w:eastAsia="ru-RU"/>
        </w:rPr>
        <w:t>хозяйственная деятельность, не нарушающая целостности объекта культурного наследия и не создающая угрозы его повреждения, разрушения или уничтожения;</w:t>
      </w:r>
    </w:p>
    <w:p>
      <w:pPr>
        <w:pStyle w:val="ListParagraph"/>
        <w:numPr>
          <w:ilvl w:val="0"/>
          <w:numId w:val="8"/>
        </w:numPr>
        <w:spacing w:lineRule="auto" w:line="240" w:before="0" w:after="0"/>
        <w:ind w:left="0" w:firstLine="567"/>
        <w:jc w:val="both"/>
        <w:rPr/>
      </w:pPr>
      <w:r>
        <w:rPr>
          <w:rFonts w:eastAsia="Times New Roman" w:ascii="Times New Roman" w:hAnsi="Times New Roman"/>
          <w:sz w:val="24"/>
          <w:szCs w:val="24"/>
          <w:lang w:eastAsia="ru-RU"/>
        </w:rPr>
        <w:t>проектирование и проведение землеустроительных, земляных, строительных, мелиоративных, хозяйственных и иных работ при обеспечении заказчиком работ, указанных в пункте 3 статьи 36 Федерального закона от 25 июня 2002 года № 73-ФЗ "Об объектах культурного наследия (памятниках истории и культуры) народов Российской Федерации" требований к сохранности объекта культурного наследия;</w:t>
      </w:r>
    </w:p>
    <w:p>
      <w:pPr>
        <w:pStyle w:val="ListParagraph"/>
        <w:numPr>
          <w:ilvl w:val="0"/>
          <w:numId w:val="8"/>
        </w:numPr>
        <w:spacing w:lineRule="auto" w:line="240" w:before="0" w:after="0"/>
        <w:ind w:left="0" w:firstLine="567"/>
        <w:jc w:val="both"/>
        <w:rPr/>
      </w:pPr>
      <w:r>
        <w:rPr>
          <w:rFonts w:eastAsia="Times New Roman" w:ascii="Times New Roman" w:hAnsi="Times New Roman"/>
          <w:sz w:val="24"/>
          <w:szCs w:val="24"/>
          <w:lang w:eastAsia="ru-RU"/>
        </w:rPr>
        <w:t>проведение научных исследований в целях изучения объекта культурного наследия, проводимые посредством земляных и связанных с ними работ, в том числе с полным или частичным изъятием археологических находок;</w:t>
      </w:r>
    </w:p>
    <w:p>
      <w:pPr>
        <w:pStyle w:val="ListParagraph"/>
        <w:numPr>
          <w:ilvl w:val="0"/>
          <w:numId w:val="8"/>
        </w:numPr>
        <w:spacing w:lineRule="auto" w:line="240" w:before="0" w:after="0"/>
        <w:ind w:left="0" w:firstLine="567"/>
        <w:jc w:val="both"/>
        <w:rPr/>
      </w:pPr>
      <w:r>
        <w:rPr>
          <w:rFonts w:eastAsia="Times New Roman" w:ascii="Times New Roman" w:hAnsi="Times New Roman"/>
          <w:sz w:val="24"/>
          <w:szCs w:val="24"/>
          <w:lang w:eastAsia="ru-RU"/>
        </w:rPr>
        <w:t>проведение работ по сохранению, спасательных археологических полевых работ на основании согласованных уполномоченным государственным органом охраны объектов культурного наследия проектов проведения таких работ;</w:t>
      </w:r>
    </w:p>
    <w:p>
      <w:pPr>
        <w:pStyle w:val="ListParagraph"/>
        <w:numPr>
          <w:ilvl w:val="0"/>
          <w:numId w:val="8"/>
        </w:numPr>
        <w:spacing w:lineRule="auto" w:line="240" w:before="0" w:after="0"/>
        <w:ind w:left="0" w:firstLine="567"/>
        <w:jc w:val="both"/>
        <w:rPr/>
      </w:pPr>
      <w:r>
        <w:rPr>
          <w:rFonts w:eastAsia="Times New Roman" w:ascii="Times New Roman" w:hAnsi="Times New Roman"/>
          <w:sz w:val="24"/>
          <w:szCs w:val="24"/>
          <w:lang w:eastAsia="ru-RU"/>
        </w:rPr>
        <w:t>консервация, музеефикация объекта археологического наследия, другая деятельность, необходимая для обеспечения сохранности объекта археологического наследия;</w:t>
      </w:r>
    </w:p>
    <w:p>
      <w:pPr>
        <w:pStyle w:val="ListParagraph"/>
        <w:numPr>
          <w:ilvl w:val="0"/>
          <w:numId w:val="8"/>
        </w:numPr>
        <w:spacing w:lineRule="auto" w:line="240" w:before="0" w:after="0"/>
        <w:ind w:left="0" w:firstLine="567"/>
        <w:jc w:val="both"/>
        <w:rPr/>
      </w:pPr>
      <w:r>
        <w:rPr>
          <w:rFonts w:eastAsia="Times New Roman" w:ascii="Times New Roman" w:hAnsi="Times New Roman"/>
          <w:sz w:val="24"/>
          <w:szCs w:val="24"/>
          <w:lang w:eastAsia="ru-RU"/>
        </w:rPr>
        <w:t>установка временных строений, сооружений для проведения спасательных археологических работ;</w:t>
      </w:r>
    </w:p>
    <w:p>
      <w:pPr>
        <w:pStyle w:val="ListParagraph"/>
        <w:numPr>
          <w:ilvl w:val="0"/>
          <w:numId w:val="8"/>
        </w:numPr>
        <w:spacing w:lineRule="auto" w:line="240" w:before="0" w:after="0"/>
        <w:ind w:left="0" w:firstLine="567"/>
        <w:jc w:val="both"/>
        <w:rPr/>
      </w:pPr>
      <w:r>
        <w:rPr>
          <w:rFonts w:eastAsia="Times New Roman" w:ascii="Times New Roman" w:hAnsi="Times New Roman"/>
          <w:sz w:val="24"/>
          <w:szCs w:val="24"/>
          <w:lang w:eastAsia="ru-RU"/>
        </w:rPr>
        <w:t>организация обеспечения свободного доступа граждан к объекту археологического наследия.</w:t>
      </w:r>
      <w:r>
        <w:br w:type="page"/>
      </w:r>
    </w:p>
    <w:p>
      <w:pPr>
        <w:pStyle w:val="1"/>
        <w:numPr>
          <w:ilvl w:val="0"/>
          <w:numId w:val="0"/>
        </w:numPr>
        <w:ind w:firstLine="567"/>
        <w:jc w:val="both"/>
        <w:rPr/>
      </w:pPr>
      <w:bookmarkStart w:id="276" w:name="_Toc424230672"/>
      <w:r>
        <w:rPr>
          <w:rFonts w:cs="Times New Roman"/>
        </w:rPr>
        <w:t xml:space="preserve">Часть 4. </w:t>
      </w:r>
      <w:bookmarkEnd w:id="276"/>
      <w:r>
        <w:rPr>
          <w:rFonts w:eastAsia="Times New Roman" w:cs="Times New Roman"/>
          <w:szCs w:val="24"/>
          <w:lang w:eastAsia="ru-RU"/>
        </w:rPr>
        <w:t>Нормы и правила благоустройства территории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2"/>
        <w:numPr>
          <w:ilvl w:val="0"/>
          <w:numId w:val="0"/>
        </w:numPr>
        <w:jc w:val="both"/>
        <w:rPr/>
      </w:pPr>
      <w:bookmarkStart w:id="277" w:name="_Toc424230673"/>
      <w:bookmarkEnd w:id="277"/>
      <w:r>
        <w:rPr>
          <w:rFonts w:cs="Times New Roman"/>
        </w:rPr>
        <w:t>Глава 9. Благоустройство территории</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78" w:name="_Toc424230674"/>
      <w:bookmarkEnd w:id="278"/>
      <w:r>
        <w:rPr>
          <w:rFonts w:cs="Times New Roman"/>
          <w:lang w:bidi="ru-RU"/>
        </w:rPr>
        <w:t>Статья 35. Общие положения благоустройства территории</w:t>
      </w:r>
    </w:p>
    <w:p>
      <w:pPr>
        <w:pStyle w:val="Normal"/>
        <w:ind w:firstLine="567"/>
        <w:jc w:val="both"/>
        <w:rPr>
          <w:rFonts w:ascii="Times New Roman" w:hAnsi="Times New Roman" w:cs="Times New Roman"/>
          <w:lang w:bidi="ru-RU"/>
        </w:rPr>
      </w:pPr>
      <w:r>
        <w:rPr>
          <w:rFonts w:cs="Times New Roman" w:ascii="Times New Roman" w:hAnsi="Times New Roman"/>
          <w:lang w:bidi="ru-RU"/>
        </w:rPr>
      </w:r>
    </w:p>
    <w:p>
      <w:pPr>
        <w:pStyle w:val="Normal"/>
        <w:ind w:firstLine="567"/>
        <w:jc w:val="both"/>
        <w:rPr/>
      </w:pPr>
      <w:r>
        <w:rPr>
          <w:rFonts w:cs="Times New Roman" w:ascii="Times New Roman" w:hAnsi="Times New Roman"/>
        </w:rPr>
        <w:t xml:space="preserve">1. Благоустройство </w:t>
      </w:r>
      <w:r>
        <w:rPr>
          <w:rFonts w:cs="Times New Roman" w:ascii="Times New Roman" w:hAnsi="Times New Roman"/>
          <w:shd w:fill="FFFFFF" w:val="clear"/>
        </w:rPr>
        <w:t>территории – это комплекс мероприятий по инженерной подготовке и обеспечению безопасности, озеленению, устройству покрытий, освещению, размещению малых архитектурных форм и объектов монументального искусства.</w:t>
      </w:r>
    </w:p>
    <w:p>
      <w:pPr>
        <w:pStyle w:val="Normal"/>
        <w:ind w:firstLine="567"/>
        <w:jc w:val="both"/>
        <w:rPr/>
      </w:pPr>
      <w:r>
        <w:rPr>
          <w:rFonts w:cs="Times New Roman" w:ascii="Times New Roman" w:hAnsi="Times New Roman"/>
        </w:rPr>
        <w:t>2. Туристическая деревня – градостроительное образование на территории ВТРК «Архыз», созданное в целях выделения групп зон внутри территориальных зон с различающимися между собой элементами благоустройства, архитектурными особенностями и колористическими решениями. Туристическая деревня представляет собой совокупность земельных участков, расположенных в условных границах, выделенных на Карте градостроительного зонирования. На территории ВТРК «Архыз» расположены пять туристических деревень: Романтик, Дукка, Лунная Поляна, Дукка-2000 и Пхия-2200.</w:t>
      </w:r>
    </w:p>
    <w:p>
      <w:pPr>
        <w:pStyle w:val="Normal"/>
        <w:ind w:firstLine="567"/>
        <w:jc w:val="both"/>
        <w:rPr/>
      </w:pPr>
      <w:r>
        <w:rPr>
          <w:rFonts w:cs="Times New Roman" w:ascii="Times New Roman" w:hAnsi="Times New Roman"/>
        </w:rPr>
        <w:t xml:space="preserve">3. </w:t>
      </w:r>
      <w:r>
        <w:rPr>
          <w:rFonts w:eastAsia="Times New Roman" w:cs="Times New Roman" w:ascii="Times New Roman" w:hAnsi="Times New Roman"/>
        </w:rPr>
        <w:t>Нормы и правила благоустройства территории ВТРК «Архыз» (далее - Нормы) в настоящих Правилах устанавливают общие параметры и рекомендуемое минимальное сочетание элементов благоустройства для создания безопасной, удобной и привлекательной среды территорий ВТРК "Архыз".</w:t>
      </w:r>
    </w:p>
    <w:p>
      <w:pPr>
        <w:pStyle w:val="Normal"/>
        <w:ind w:firstLine="567"/>
        <w:jc w:val="both"/>
        <w:rPr/>
      </w:pPr>
      <w:r>
        <w:rPr>
          <w:rFonts w:cs="Times New Roman" w:ascii="Times New Roman" w:hAnsi="Times New Roman"/>
        </w:rPr>
        <w:t xml:space="preserve">4. </w:t>
      </w:r>
      <w:r>
        <w:rPr>
          <w:rFonts w:eastAsia="Times New Roman" w:cs="Times New Roman" w:ascii="Times New Roman" w:hAnsi="Times New Roman"/>
        </w:rPr>
        <w:t>Проектирование и эксплуатация элементов благоустройства обеспечивают требования охраны здоровья человека, исторической и природной среды, создают технические возможности беспрепятственного передвижения маломобильных групп населения по территории ВТРК "Архыз".</w:t>
      </w:r>
    </w:p>
    <w:p>
      <w:pPr>
        <w:pStyle w:val="Normal"/>
        <w:ind w:firstLine="567"/>
        <w:jc w:val="both"/>
        <w:rPr/>
      </w:pPr>
      <w:r>
        <w:rPr>
          <w:rFonts w:cs="Times New Roman" w:ascii="Times New Roman" w:hAnsi="Times New Roman"/>
        </w:rPr>
        <w:t xml:space="preserve">5. </w:t>
      </w:r>
      <w:r>
        <w:rPr>
          <w:rFonts w:eastAsia="Times New Roman" w:cs="Times New Roman" w:ascii="Times New Roman" w:hAnsi="Times New Roman"/>
        </w:rPr>
        <w:t>Настоящие Нормы и Правила рекомендуется осуществлять с учетом утвержденной градостроительной документации.</w:t>
      </w:r>
    </w:p>
    <w:p>
      <w:pPr>
        <w:pStyle w:val="Normal"/>
        <w:ind w:firstLine="567"/>
        <w:jc w:val="both"/>
        <w:rPr/>
      </w:pPr>
      <w:r>
        <w:rPr>
          <w:rFonts w:eastAsia="Times New Roman" w:cs="Times New Roman" w:ascii="Times New Roman" w:hAnsi="Times New Roman"/>
        </w:rPr>
        <w:t>6. Применяются следующие термины со следующими определениями:</w:t>
      </w:r>
    </w:p>
    <w:p>
      <w:pPr>
        <w:pStyle w:val="ListParagraph"/>
        <w:numPr>
          <w:ilvl w:val="0"/>
          <w:numId w:val="9"/>
        </w:numPr>
        <w:spacing w:lineRule="auto" w:line="240" w:before="0" w:after="0"/>
        <w:ind w:left="0" w:firstLine="567"/>
        <w:jc w:val="both"/>
        <w:rPr/>
      </w:pPr>
      <w:r>
        <w:rPr>
          <w:rFonts w:eastAsia="Times New Roman" w:ascii="Times New Roman" w:hAnsi="Times New Roman"/>
          <w:sz w:val="24"/>
          <w:szCs w:val="24"/>
          <w:lang w:eastAsia="ru-RU"/>
        </w:rPr>
        <w:t>Элементы благоустройства территории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
    <w:p>
      <w:pPr>
        <w:pStyle w:val="ListParagraph"/>
        <w:numPr>
          <w:ilvl w:val="0"/>
          <w:numId w:val="9"/>
        </w:numPr>
        <w:spacing w:lineRule="auto" w:line="240" w:before="0" w:after="0"/>
        <w:ind w:left="0" w:firstLine="567"/>
        <w:jc w:val="both"/>
        <w:rPr/>
      </w:pPr>
      <w:r>
        <w:rPr>
          <w:rFonts w:eastAsia="Times New Roman" w:ascii="Times New Roman" w:hAnsi="Times New Roman"/>
          <w:sz w:val="24"/>
          <w:szCs w:val="24"/>
          <w:lang w:eastAsia="ru-RU"/>
        </w:rPr>
        <w:t>Нормируемый комплекс элементов благоустройства - необходимое минимальное сочетание элементов благоустройства для создания на территории муниципального образования безопасной, удобной и привлекательной среды.</w:t>
      </w:r>
    </w:p>
    <w:p>
      <w:pPr>
        <w:pStyle w:val="ListParagraph"/>
        <w:numPr>
          <w:ilvl w:val="0"/>
          <w:numId w:val="9"/>
        </w:numPr>
        <w:spacing w:lineRule="auto" w:line="240" w:before="0" w:after="0"/>
        <w:ind w:left="0" w:firstLine="567"/>
        <w:jc w:val="both"/>
        <w:rPr/>
      </w:pPr>
      <w:r>
        <w:rPr>
          <w:rFonts w:eastAsia="Times New Roman" w:ascii="Times New Roman" w:hAnsi="Times New Roman"/>
          <w:sz w:val="24"/>
          <w:szCs w:val="24"/>
          <w:lang w:eastAsia="ru-RU"/>
        </w:rPr>
        <w:t>Нормируемый комплекс элементов благоустройства устанавливается в составе местных норм и правил благоустройства территории органом местного самоуправления.</w:t>
      </w:r>
    </w:p>
    <w:p>
      <w:pPr>
        <w:pStyle w:val="ListParagraph"/>
        <w:numPr>
          <w:ilvl w:val="0"/>
          <w:numId w:val="9"/>
        </w:numPr>
        <w:spacing w:lineRule="auto" w:line="240" w:before="0" w:after="0"/>
        <w:ind w:left="0" w:firstLine="567"/>
        <w:jc w:val="both"/>
        <w:rPr/>
      </w:pPr>
      <w:r>
        <w:rPr>
          <w:rFonts w:eastAsia="Times New Roman" w:ascii="Times New Roman" w:hAnsi="Times New Roman"/>
          <w:sz w:val="24"/>
          <w:szCs w:val="24"/>
          <w:lang w:eastAsia="ru-RU"/>
        </w:rPr>
        <w:t>Объекты благоустройства территории - территории муниципального образования, на которых осуществляется деятельность по благоустройству: площадки, дворы, кварталы, функционально-планировочные образования,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муниципального образования.</w:t>
      </w:r>
    </w:p>
    <w:p>
      <w:pPr>
        <w:pStyle w:val="ListParagraph"/>
        <w:numPr>
          <w:ilvl w:val="0"/>
          <w:numId w:val="9"/>
        </w:numPr>
        <w:spacing w:lineRule="auto" w:line="240" w:before="0" w:after="0"/>
        <w:ind w:left="0" w:firstLine="567"/>
        <w:jc w:val="both"/>
        <w:rPr/>
      </w:pPr>
      <w:r>
        <w:rPr>
          <w:rFonts w:eastAsia="Times New Roman" w:ascii="Times New Roman" w:hAnsi="Times New Roman"/>
          <w:sz w:val="24"/>
          <w:szCs w:val="24"/>
          <w:lang w:eastAsia="ru-RU"/>
        </w:rPr>
        <w:t>Объекты нормирования благоустройства территории - территории муниципального образования, для которых в нормах и правилах по благоустройству территории устанавливаются: нормируемый комплекс элементов благоустройства, нормы и правила их размещения на данной территории. Такими территориями могут являться: площадки различного функционального назначения, пешеходные коммуникации, проезды, общественные пространства, участки и зоны общественной и гостиничной застройки, санитарно-защитные зоны производственной застройки, объекты рекреации, улично-дорожная сеть, технические (охранно-эксплуатационные) зоны инженерных коммуникаций.</w:t>
      </w:r>
    </w:p>
    <w:p>
      <w:pPr>
        <w:pStyle w:val="ListParagraph"/>
        <w:numPr>
          <w:ilvl w:val="0"/>
          <w:numId w:val="9"/>
        </w:numPr>
        <w:spacing w:lineRule="auto" w:line="240" w:before="0" w:after="0"/>
        <w:ind w:left="0" w:firstLine="567"/>
        <w:jc w:val="both"/>
        <w:rPr/>
      </w:pPr>
      <w:r>
        <w:rPr>
          <w:rFonts w:eastAsia="Times New Roman" w:ascii="Times New Roman" w:hAnsi="Times New Roman"/>
          <w:sz w:val="24"/>
          <w:szCs w:val="24"/>
          <w:lang w:eastAsia="ru-RU"/>
        </w:rPr>
        <w:t>Уборка территорий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населения и охрану окружающей среды.</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2"/>
        <w:numPr>
          <w:ilvl w:val="0"/>
          <w:numId w:val="0"/>
        </w:numPr>
        <w:ind w:left="360" w:hanging="360"/>
        <w:jc w:val="both"/>
        <w:rPr/>
      </w:pPr>
      <w:bookmarkStart w:id="279" w:name="_Toc424230675"/>
      <w:bookmarkEnd w:id="279"/>
      <w:r>
        <w:rPr>
          <w:rFonts w:eastAsia="Times New Roman" w:cs="Times New Roman"/>
        </w:rPr>
        <w:t>Глава 10. Элементы благоустройства территории</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80" w:name="_Toc424230676"/>
      <w:bookmarkEnd w:id="280"/>
      <w:r>
        <w:rPr>
          <w:rFonts w:eastAsia="Times New Roman" w:cs="Times New Roman"/>
        </w:rPr>
        <w:t>Статья 36. Элементы инженерной подготовки и защиты территории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p>
    <w:p>
      <w:pPr>
        <w:pStyle w:val="Normal"/>
        <w:ind w:firstLine="567"/>
        <w:jc w:val="both"/>
        <w:rPr/>
      </w:pPr>
      <w:r>
        <w:rPr>
          <w:rFonts w:eastAsia="Times New Roman" w:cs="Times New Roman" w:ascii="Times New Roman" w:hAnsi="Times New Roman"/>
        </w:rPr>
        <w:t>2. 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фунтов на площадке строительства.</w:t>
      </w:r>
    </w:p>
    <w:p>
      <w:pPr>
        <w:pStyle w:val="Normal"/>
        <w:ind w:firstLine="567"/>
        <w:jc w:val="both"/>
        <w:rPr/>
      </w:pPr>
      <w:r>
        <w:rPr>
          <w:rFonts w:eastAsia="Times New Roman" w:cs="Times New Roman" w:ascii="Times New Roman" w:hAnsi="Times New Roman"/>
        </w:rPr>
        <w:t>3. При организации рельефа рекомендуется предусматривать снятие плодородного слоя почвы толщиной 150-200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pPr>
        <w:pStyle w:val="Normal"/>
        <w:ind w:firstLine="567"/>
        <w:jc w:val="both"/>
        <w:rPr/>
      </w:pPr>
      <w:r>
        <w:rPr>
          <w:rFonts w:eastAsia="Times New Roman" w:cs="Times New Roman" w:ascii="Times New Roman" w:hAnsi="Times New Roman"/>
        </w:rPr>
        <w:t>4. 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pPr>
        <w:pStyle w:val="Normal"/>
        <w:ind w:firstLine="567"/>
        <w:jc w:val="both"/>
        <w:rPr/>
      </w:pPr>
      <w:r>
        <w:rPr>
          <w:rFonts w:eastAsia="Times New Roman" w:cs="Times New Roman" w:ascii="Times New Roman" w:hAnsi="Times New Roman"/>
        </w:rPr>
        <w:t>5. Рекомендуется проводить укрепление откосов. Выбор материала и технологии укрепления зависят от местоположения откоса, предполагаемого уровня механических нагрузок на склон, крутизны склона и формируемой среды.</w:t>
      </w:r>
    </w:p>
    <w:p>
      <w:pPr>
        <w:pStyle w:val="Normal"/>
        <w:ind w:firstLine="567"/>
        <w:jc w:val="both"/>
        <w:rPr/>
      </w:pPr>
      <w:r>
        <w:rPr>
          <w:rFonts w:eastAsia="Times New Roman" w:cs="Times New Roman" w:ascii="Times New Roman" w:hAnsi="Times New Roman"/>
        </w:rPr>
        <w:t>На территориях зон особо охраняемых природных территорий для укрепления откосов открытых русел водоемов рекомендуется использовать материалы и приемы, сохраняющие естественный вид берегов: габионные конструкции или "матрацы Рено", нетканые синтетические материалы, покрытие типа "соты", одерновку, ряжевые деревянные берегоукрепления, естественный камень, песок, валуны, посадки растений.</w:t>
      </w:r>
    </w:p>
    <w:p>
      <w:pPr>
        <w:pStyle w:val="Normal"/>
        <w:ind w:firstLine="567"/>
        <w:jc w:val="both"/>
        <w:rPr/>
      </w:pPr>
      <w:r>
        <w:rPr>
          <w:rFonts w:eastAsia="Times New Roman" w:cs="Times New Roman" w:ascii="Times New Roman" w:hAnsi="Times New Roman"/>
        </w:rPr>
        <w:t>В застройке туристических деревень укрепление откосов открытых русел следует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омоноличиванием швов.</w:t>
      </w:r>
    </w:p>
    <w:p>
      <w:pPr>
        <w:pStyle w:val="Normal"/>
        <w:ind w:firstLine="567"/>
        <w:jc w:val="both"/>
        <w:rPr/>
      </w:pPr>
      <w:r>
        <w:rPr>
          <w:rFonts w:eastAsia="Times New Roman" w:cs="Times New Roman" w:ascii="Times New Roman" w:hAnsi="Times New Roman"/>
        </w:rPr>
        <w:t>6. Подпорные стенки следует проектировать с учетом разницы высот сопрягаемых террас. Перепад рельефа менее 0,4 м рекомендуется оформлять бортовым камнем или выкладкой естественного камня. При перепадах рельефа более 0,4 м подпорные стенки рекомендуется проектировать как инженерное сооружение, обеспечивая устойчивость верхней террасы гравитационными (монолитные, из массивной кладки) или свайными (тонкие анкерные, свайные ростверки) видами подпорных стенок.</w:t>
      </w:r>
    </w:p>
    <w:p>
      <w:pPr>
        <w:pStyle w:val="Normal"/>
        <w:ind w:firstLine="567"/>
        <w:jc w:val="both"/>
        <w:rPr/>
      </w:pPr>
      <w:r>
        <w:rPr>
          <w:rFonts w:eastAsia="Times New Roman" w:cs="Times New Roman" w:ascii="Times New Roman" w:hAnsi="Times New Roman"/>
        </w:rPr>
        <w:t>7. Следует предусматривать ограждение подпорных стенок и верхних бровок откосов при размещении на них транспортных коммуникаций согласно ГОСТ Р 52289, ГОСТ 26804. Также следует предусматривать ограждения пешеходных дорожек, размещаемых вдоль этих сооружений, при высоте подпорной стенки более 1,0 м, а откоса - более 2 м. Высоту ограждений рекомендуется устанавливать не менее 0,9 м.</w:t>
      </w:r>
    </w:p>
    <w:p>
      <w:pPr>
        <w:pStyle w:val="Normal"/>
        <w:ind w:firstLine="567"/>
        <w:jc w:val="both"/>
        <w:rPr/>
      </w:pPr>
      <w:r>
        <w:rPr>
          <w:rFonts w:eastAsia="Times New Roman" w:cs="Times New Roman" w:ascii="Times New Roman" w:hAnsi="Times New Roman"/>
        </w:rPr>
        <w:t>8. Искусственные элементы рельефа (подпорные стенки, земляные насыпи, выемки), располагаемые вдоль магистральных улиц, могут использоваться в качестве шумозащитных экранов.</w:t>
      </w:r>
    </w:p>
    <w:p>
      <w:pPr>
        <w:pStyle w:val="Normal"/>
        <w:ind w:firstLine="567"/>
        <w:jc w:val="both"/>
        <w:rPr/>
      </w:pPr>
      <w:r>
        <w:rPr>
          <w:rFonts w:eastAsia="Times New Roman" w:cs="Times New Roman" w:ascii="Times New Roman" w:hAnsi="Times New Roman"/>
        </w:rPr>
        <w:t>9. При проектировании стока поверхностных вод следует руководствоваться СНиП 2.04.03. При организации стока следует обеспечивать комплексное решение вопросов организации рельефа и устройства открытой или закрытой системы водоотводных устройств: водосточных труб (водостоков), лотков, кюветов, быстротоков, дождеприемных колодцев. Проектирование поверхностного водоотвода рекомендуется осуществлять с минимальным объемом земляных работ и предусматривающий сток воды со скоростями, исключающими возможность эрозии почвы.</w:t>
      </w:r>
    </w:p>
    <w:p>
      <w:pPr>
        <w:pStyle w:val="Normal"/>
        <w:ind w:firstLine="567"/>
        <w:jc w:val="both"/>
        <w:rPr/>
      </w:pPr>
      <w:r>
        <w:rPr>
          <w:rFonts w:eastAsia="Times New Roman" w:cs="Times New Roman" w:ascii="Times New Roman" w:hAnsi="Times New Roman"/>
        </w:rPr>
        <w:t>10. 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(одерновка, каменное мощение, монолитный бетон, сборный железобетон, керамика), угол откосов кюветов рекомендуется принимать в зависимости от видов грунтов.</w:t>
      </w:r>
    </w:p>
    <w:p>
      <w:pPr>
        <w:pStyle w:val="Normal"/>
        <w:ind w:firstLine="567"/>
        <w:jc w:val="both"/>
        <w:rPr/>
      </w:pPr>
      <w:r>
        <w:rPr>
          <w:rFonts w:eastAsia="Times New Roman" w:cs="Times New Roman" w:ascii="Times New Roman" w:hAnsi="Times New Roman"/>
        </w:rPr>
        <w:t>11. Минимальные и максимальные уклоны следует назначать с учетом неразмывающих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pPr>
        <w:pStyle w:val="Normal"/>
        <w:ind w:firstLine="567"/>
        <w:jc w:val="both"/>
        <w:rPr/>
      </w:pPr>
      <w:r>
        <w:rPr>
          <w:rFonts w:eastAsia="Times New Roman" w:cs="Times New Roman" w:ascii="Times New Roman" w:hAnsi="Times New Roman"/>
        </w:rPr>
        <w:t>12. 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стыки допускается замоноличивать раствором высококачественной глины.</w:t>
      </w:r>
    </w:p>
    <w:p>
      <w:pPr>
        <w:pStyle w:val="Normal"/>
        <w:ind w:firstLine="567"/>
        <w:jc w:val="both"/>
        <w:rPr/>
      </w:pPr>
      <w:r>
        <w:rPr>
          <w:rFonts w:eastAsia="Times New Roman" w:cs="Times New Roman" w:ascii="Times New Roman" w:hAnsi="Times New Roman"/>
        </w:rPr>
        <w:t>13. 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(таблица 1 Приложения № 2 к настоящим Правилам). На территории туристических деревень не рекомендуется устройство поглощающих колодцев и испарительных площадок.</w:t>
      </w:r>
    </w:p>
    <w:p>
      <w:pPr>
        <w:pStyle w:val="Normal"/>
        <w:ind w:firstLine="567"/>
        <w:jc w:val="both"/>
        <w:rPr/>
      </w:pPr>
      <w:r>
        <w:rPr>
          <w:rFonts w:eastAsia="Times New Roman" w:cs="Times New Roman" w:ascii="Times New Roman" w:hAnsi="Times New Roman"/>
        </w:rPr>
        <w:t>14. 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w:t>
      </w:r>
    </w:p>
    <w:p>
      <w:pPr>
        <w:pStyle w:val="Normal"/>
        <w:ind w:firstLine="567"/>
        <w:jc w:val="both"/>
        <w:rPr/>
      </w:pPr>
      <w:r>
        <w:rPr>
          <w:rFonts w:eastAsia="Times New Roman" w:cs="Times New Roman" w:ascii="Times New Roman" w:hAnsi="Times New Roman"/>
        </w:rPr>
        <w:t>15. При ширине улицы в красных линиях более 30 м и уклонах более 30%</w:t>
      </w:r>
      <w:r>
        <w:rPr>
          <w:rFonts w:eastAsia="Times New Roman" w:cs="Times New Roman" w:ascii="Times New Roman" w:hAnsi="Times New Roman"/>
          <w:sz w:val="20"/>
        </w:rPr>
        <w:t>о</w:t>
      </w:r>
      <w:r>
        <w:rPr>
          <w:rFonts w:eastAsia="Times New Roman" w:cs="Times New Roman" w:ascii="Times New Roman" w:hAnsi="Times New Roman"/>
        </w:rPr>
        <w:t> расстояние между дождеприемными колодцами рекомендуется устанавливать не более 60 м. В случае превышения указанного расстояния следует обеспечивать устройство спаренных дождеприемных колодцев с решетками значительной пропускной способности. Для улиц, внутриквартальных проездов, дорожек, бульваров, скверов, трассируемых на водоразделах, возможно увеличение расстояния между дождеприемными колодцами в два раза.</w:t>
      </w:r>
    </w:p>
    <w:p>
      <w:pPr>
        <w:pStyle w:val="Normal"/>
        <w:ind w:firstLine="567"/>
        <w:jc w:val="both"/>
        <w:rPr/>
      </w:pPr>
      <w:r>
        <w:rPr>
          <w:rFonts w:eastAsia="Times New Roman" w:cs="Times New Roman" w:ascii="Times New Roman" w:hAnsi="Times New Roman"/>
        </w:rPr>
        <w:t>При формировании значительного объема стока в пределах внутриквартальных территорий следует предусматривать ввод дождевой канализации в ее границы, что необходимо обосновать расчетом.</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81" w:name="_Toc424230677"/>
      <w:bookmarkEnd w:id="281"/>
      <w:r>
        <w:rPr>
          <w:rFonts w:eastAsia="Times New Roman" w:cs="Times New Roman"/>
        </w:rPr>
        <w:t>Статья 37. Озеленение</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Озеленение - элемент благоустройства и ландшафтной организации территории, обеспечивающий формирование среды ВТРК "Архыз" с активным использованием растительных компонентов, а также поддержание ранее созданной или изначально существующей природной среды.</w:t>
      </w:r>
    </w:p>
    <w:p>
      <w:pPr>
        <w:pStyle w:val="Normal"/>
        <w:ind w:firstLine="567"/>
        <w:jc w:val="both"/>
        <w:rPr/>
      </w:pPr>
      <w:r>
        <w:rPr>
          <w:rFonts w:eastAsia="Times New Roman" w:cs="Times New Roman" w:ascii="Times New Roman" w:hAnsi="Times New Roman"/>
        </w:rPr>
        <w:t xml:space="preserve">2. Основными типами насаждений и озеленения могут являться: массивы, группы, солитеры, живые изгороди, кулисы, боскеты, шпалеры, газоны, цветники, различные виды посадок (аллейные, рядовые, букетные). В зависимости от выбора типов насаждений определяется </w:t>
      </w:r>
      <w:r>
        <w:fldChar w:fldCharType="begin"/>
      </w:r>
      <w:r>
        <w:instrText> HYPERLINK "http://www.garant.ru/products/ipo/prime/doc/70018446/" \l "6"</w:instrText>
      </w:r>
      <w:r>
        <w:fldChar w:fldCharType="separate"/>
      </w:r>
      <w:r>
        <w:rPr>
          <w:rStyle w:val="Style5"/>
          <w:rFonts w:eastAsia="Times New Roman" w:cs="Times New Roman" w:ascii="Times New Roman" w:hAnsi="Times New Roman"/>
        </w:rPr>
        <w:t>объёмно-пространственная структура</w:t>
      </w:r>
      <w:r>
        <w:fldChar w:fldCharType="end"/>
      </w:r>
      <w:r>
        <w:rPr>
          <w:rFonts w:eastAsia="Times New Roman" w:cs="Times New Roman" w:ascii="Times New Roman" w:hAnsi="Times New Roman"/>
        </w:rPr>
        <w:t xml:space="preserve"> насаждений и обеспечивается визуально-композиционные и функциональные связи участков озелененных территорий между собой и с застройкой ВТРК "Архыз".</w:t>
      </w:r>
    </w:p>
    <w:p>
      <w:pPr>
        <w:pStyle w:val="Normal"/>
        <w:ind w:firstLine="567"/>
        <w:jc w:val="both"/>
        <w:rPr/>
      </w:pPr>
      <w:r>
        <w:rPr>
          <w:rFonts w:eastAsia="Times New Roman" w:cs="Times New Roman" w:ascii="Times New Roman" w:hAnsi="Times New Roman"/>
        </w:rPr>
        <w:t>3. На территории ВТРК "Архыз" 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Стационарное и мобильное озеленение обычно используют для создания архитектурно-ландшафтных объектов (газонов, садов, цветников, площадок с кустами и деревьями) на естественных и искусственных элементах рельефа, крышах (крышное озеленение), фасадах (</w:t>
      </w:r>
      <w:r>
        <w:fldChar w:fldCharType="begin"/>
      </w:r>
      <w:r>
        <w:instrText> HYPERLINK "http://www.garant.ru/products/ipo/prime/doc/70018446/" \l "3"</w:instrText>
      </w:r>
      <w:r>
        <w:fldChar w:fldCharType="separate"/>
      </w:r>
      <w:r>
        <w:rPr>
          <w:rStyle w:val="Style5"/>
          <w:rFonts w:eastAsia="Times New Roman" w:cs="Times New Roman" w:ascii="Times New Roman" w:hAnsi="Times New Roman"/>
        </w:rPr>
        <w:t>вертикальное озеленение</w:t>
      </w:r>
      <w:r>
        <w:fldChar w:fldCharType="end"/>
      </w:r>
      <w:r>
        <w:rPr>
          <w:rFonts w:eastAsia="Times New Roman" w:cs="Times New Roman" w:ascii="Times New Roman" w:hAnsi="Times New Roman"/>
        </w:rPr>
        <w:t>) зданий и сооружений.</w:t>
      </w:r>
    </w:p>
    <w:p>
      <w:pPr>
        <w:pStyle w:val="Normal"/>
        <w:ind w:firstLine="567"/>
        <w:jc w:val="both"/>
        <w:rPr/>
      </w:pPr>
      <w:r>
        <w:rPr>
          <w:rFonts w:eastAsia="Times New Roman" w:cs="Times New Roman" w:ascii="Times New Roman" w:hAnsi="Times New Roman"/>
        </w:rPr>
        <w:t>4. При проектировании озеленения следует учитывать: минимальные расстояния посадок деревьев и кустарников до инженерных сетей, зданий и сооружений, размеры комов, ям и траншей для посадки насаждений (</w:t>
      </w:r>
      <w:r>
        <w:fldChar w:fldCharType="begin"/>
      </w:r>
      <w:r>
        <w:instrText> HYPERLINK "http://www.garant.ru/products/ipo/prime/doc/70018446/" \l "2200"</w:instrText>
      </w:r>
      <w:r>
        <w:fldChar w:fldCharType="separate"/>
      </w:r>
      <w:r>
        <w:rPr>
          <w:rStyle w:val="Style5"/>
          <w:rFonts w:eastAsia="Times New Roman" w:cs="Times New Roman" w:ascii="Times New Roman" w:hAnsi="Times New Roman"/>
        </w:rPr>
        <w:t>таблица 2</w:t>
      </w:r>
      <w:r>
        <w:fldChar w:fldCharType="end"/>
      </w:r>
      <w:r>
        <w:rPr>
          <w:rFonts w:eastAsia="Times New Roman" w:cs="Times New Roman" w:ascii="Times New Roman" w:hAnsi="Times New Roman"/>
        </w:rPr>
        <w:t xml:space="preserve"> Приложения № 2). Рекомендуется соблюдать максимальное количество насаждений на различных территориях населенного пункта (</w:t>
      </w:r>
      <w:r>
        <w:fldChar w:fldCharType="begin"/>
      </w:r>
      <w:r>
        <w:instrText> HYPERLINK "http://www.garant.ru/products/ipo/prime/doc/70018446/" \l "2300"</w:instrText>
      </w:r>
      <w:r>
        <w:fldChar w:fldCharType="separate"/>
      </w:r>
      <w:r>
        <w:rPr>
          <w:rStyle w:val="Style5"/>
          <w:rFonts w:eastAsia="Times New Roman" w:cs="Times New Roman" w:ascii="Times New Roman" w:hAnsi="Times New Roman"/>
        </w:rPr>
        <w:t>таблица 3</w:t>
      </w:r>
      <w:r>
        <w:fldChar w:fldCharType="end"/>
      </w:r>
      <w:r>
        <w:rPr>
          <w:rFonts w:eastAsia="Times New Roman" w:cs="Times New Roman" w:ascii="Times New Roman" w:hAnsi="Times New Roman"/>
        </w:rPr>
        <w:t xml:space="preserve"> Приложения № 2),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 (</w:t>
      </w:r>
      <w:r>
        <w:fldChar w:fldCharType="begin"/>
      </w:r>
      <w:r>
        <w:instrText> HYPERLINK "http://www.garant.ru/products/ipo/prime/doc/70018446/" \l "2400"</w:instrText>
      </w:r>
      <w:r>
        <w:fldChar w:fldCharType="separate"/>
      </w:r>
      <w:r>
        <w:rPr>
          <w:rStyle w:val="Style5"/>
          <w:rFonts w:eastAsia="Times New Roman" w:cs="Times New Roman" w:ascii="Times New Roman" w:hAnsi="Times New Roman"/>
        </w:rPr>
        <w:t>таблицы 4-9</w:t>
      </w:r>
      <w:r>
        <w:fldChar w:fldCharType="end"/>
      </w:r>
      <w:r>
        <w:rPr>
          <w:rFonts w:eastAsia="Times New Roman" w:cs="Times New Roman" w:ascii="Times New Roman" w:hAnsi="Times New Roman"/>
        </w:rPr>
        <w:t xml:space="preserve"> Приложения № 2).</w:t>
      </w:r>
    </w:p>
    <w:p>
      <w:pPr>
        <w:pStyle w:val="Normal"/>
        <w:ind w:firstLine="567"/>
        <w:jc w:val="both"/>
        <w:rPr/>
      </w:pPr>
      <w:r>
        <w:rPr>
          <w:rFonts w:eastAsia="Times New Roman" w:cs="Times New Roman" w:ascii="Times New Roman" w:hAnsi="Times New Roman"/>
        </w:rPr>
        <w:t>5. Проектирование озеленения и формирование системы зеленых насаждений на территории муниципального образования следует вести с учетом факторов потери (в той или иной степени) способности экосистем туристических деревень к саморегуляции. Для обеспечения жизнеспособности насаждений и озеленяемых территорий туристических деревень необходимо:</w:t>
      </w:r>
    </w:p>
    <w:p>
      <w:pPr>
        <w:pStyle w:val="Normal"/>
        <w:ind w:firstLine="567"/>
        <w:jc w:val="both"/>
        <w:rPr/>
      </w:pPr>
      <w:r>
        <w:rPr>
          <w:rFonts w:eastAsia="Times New Roman" w:cs="Times New Roman" w:ascii="Times New Roman" w:hAnsi="Times New Roman"/>
        </w:rPr>
        <w:t xml:space="preserve">- производить </w:t>
      </w:r>
      <w:r>
        <w:fldChar w:fldCharType="begin"/>
      </w:r>
      <w:r>
        <w:instrText> HYPERLINK "http://www.garant.ru/products/ipo/prime/doc/70018446/" \l "2131015"</w:instrText>
      </w:r>
      <w:r>
        <w:fldChar w:fldCharType="separate"/>
      </w:r>
      <w:r>
        <w:rPr>
          <w:rStyle w:val="Style5"/>
          <w:rFonts w:eastAsia="Times New Roman" w:cs="Times New Roman" w:ascii="Times New Roman" w:hAnsi="Times New Roman"/>
        </w:rPr>
        <w:t>благоустройство территории</w:t>
      </w:r>
      <w:r>
        <w:fldChar w:fldCharType="end"/>
      </w:r>
      <w:r>
        <w:rPr>
          <w:rFonts w:eastAsia="Times New Roman" w:cs="Times New Roman" w:ascii="Times New Roman" w:hAnsi="Times New Roman"/>
        </w:rPr>
        <w:t xml:space="preserve">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 (</w:t>
      </w:r>
      <w:r>
        <w:fldChar w:fldCharType="begin"/>
      </w:r>
      <w:r>
        <w:instrText> HYPERLINK "http://www.garant.ru/products/ipo/prime/doc/70018446/" \l "21010"</w:instrText>
      </w:r>
      <w:r>
        <w:fldChar w:fldCharType="separate"/>
      </w:r>
      <w:r>
        <w:rPr>
          <w:rStyle w:val="Style5"/>
          <w:rFonts w:eastAsia="Times New Roman" w:cs="Times New Roman" w:ascii="Times New Roman" w:hAnsi="Times New Roman"/>
        </w:rPr>
        <w:t>таблицы 10</w:t>
      </w:r>
      <w:r>
        <w:fldChar w:fldCharType="end"/>
      </w:r>
      <w:r>
        <w:rPr>
          <w:rFonts w:eastAsia="Times New Roman" w:cs="Times New Roman" w:ascii="Times New Roman" w:hAnsi="Times New Roman"/>
        </w:rPr>
        <w:t xml:space="preserve">, </w:t>
      </w:r>
      <w:r>
        <w:fldChar w:fldCharType="begin"/>
      </w:r>
      <w:r>
        <w:instrText> HYPERLINK "http://www.garant.ru/products/ipo/prime/doc/70018446/" \l "21011"</w:instrText>
      </w:r>
      <w:r>
        <w:fldChar w:fldCharType="separate"/>
      </w:r>
      <w:r>
        <w:rPr>
          <w:rStyle w:val="Style5"/>
          <w:rFonts w:eastAsia="Times New Roman" w:cs="Times New Roman" w:ascii="Times New Roman" w:hAnsi="Times New Roman"/>
        </w:rPr>
        <w:t>11</w:t>
      </w:r>
      <w:r>
        <w:fldChar w:fldCharType="end"/>
      </w:r>
      <w:r>
        <w:rPr>
          <w:rFonts w:eastAsia="Times New Roman" w:cs="Times New Roman" w:ascii="Times New Roman" w:hAnsi="Times New Roman"/>
        </w:rPr>
        <w:t xml:space="preserve"> Приложения № 2);</w:t>
      </w:r>
    </w:p>
    <w:p>
      <w:pPr>
        <w:pStyle w:val="Normal"/>
        <w:ind w:firstLine="567"/>
        <w:jc w:val="both"/>
        <w:rPr/>
      </w:pPr>
      <w:r>
        <w:rPr>
          <w:rFonts w:eastAsia="Times New Roman" w:cs="Times New Roman" w:ascii="Times New Roman" w:hAnsi="Times New Roman"/>
        </w:rPr>
        <w:t>- учитывать степень техногенных нагрузок от прилегающих территорий;</w:t>
      </w:r>
    </w:p>
    <w:p>
      <w:pPr>
        <w:pStyle w:val="Normal"/>
        <w:ind w:firstLine="567"/>
        <w:jc w:val="both"/>
        <w:rPr/>
      </w:pPr>
      <w:r>
        <w:rPr>
          <w:rFonts w:eastAsia="Times New Roman" w:cs="Times New Roman" w:ascii="Times New Roman" w:hAnsi="Times New Roman"/>
        </w:rPr>
        <w:t>- 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pPr>
        <w:pStyle w:val="Normal"/>
        <w:ind w:firstLine="567"/>
        <w:jc w:val="both"/>
        <w:rPr/>
      </w:pPr>
      <w:r>
        <w:rPr>
          <w:rFonts w:eastAsia="Times New Roman" w:cs="Times New Roman" w:ascii="Times New Roman" w:hAnsi="Times New Roman"/>
        </w:rPr>
        <w:t xml:space="preserve">6. На территории ВТРК "Архыз" следует 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При проектировании озеленения на территориях с почвенным покровом, нарушенным антропогенной деятельностью, рекомендуется учитывать </w:t>
      </w:r>
      <w:r>
        <w:fldChar w:fldCharType="begin"/>
      </w:r>
      <w:r>
        <w:instrText> HYPERLINK "http://www.garant.ru/products/ipo/prime/doc/70018446/" \l "4000"</w:instrText>
      </w:r>
      <w:r>
        <w:fldChar w:fldCharType="separate"/>
      </w:r>
      <w:r>
        <w:rPr>
          <w:rStyle w:val="Style5"/>
          <w:rFonts w:eastAsia="Times New Roman" w:cs="Times New Roman" w:ascii="Times New Roman" w:hAnsi="Times New Roman"/>
        </w:rPr>
        <w:t>Приложение 4</w:t>
      </w:r>
      <w:r>
        <w:fldChar w:fldCharType="end"/>
      </w:r>
      <w:r>
        <w:rPr>
          <w:rFonts w:eastAsia="Times New Roman" w:cs="Times New Roman" w:ascii="Times New Roman" w:hAnsi="Times New Roman"/>
        </w:rPr>
        <w:t xml:space="preserve"> к настоящим Правилам.</w:t>
      </w:r>
    </w:p>
    <w:p>
      <w:pPr>
        <w:pStyle w:val="Normal"/>
        <w:ind w:firstLine="567"/>
        <w:jc w:val="both"/>
        <w:rPr/>
      </w:pPr>
      <w:r>
        <w:rPr>
          <w:rFonts w:eastAsia="Times New Roman" w:cs="Times New Roman" w:ascii="Times New Roman" w:hAnsi="Times New Roman"/>
        </w:rPr>
        <w:t>7. При озеленении территории общественных пространств и объектов рекреации, в том числе с использованием крышного и вертикального озеленения, следует предусматривать устройство газонов, автоматических систем полива и орошения (</w:t>
      </w:r>
      <w:r>
        <w:fldChar w:fldCharType="begin"/>
      </w:r>
      <w:r>
        <w:instrText> HYPERLINK "http://www.garant.ru/products/ipo/prime/doc/70018446/" \l "21010"</w:instrText>
      </w:r>
      <w:r>
        <w:fldChar w:fldCharType="separate"/>
      </w:r>
      <w:r>
        <w:rPr>
          <w:rStyle w:val="Style5"/>
          <w:rFonts w:eastAsia="Times New Roman" w:cs="Times New Roman" w:ascii="Times New Roman" w:hAnsi="Times New Roman"/>
        </w:rPr>
        <w:t>таблица 10</w:t>
      </w:r>
      <w:r>
        <w:fldChar w:fldCharType="end"/>
      </w:r>
      <w:r>
        <w:rPr>
          <w:rFonts w:eastAsia="Times New Roman" w:cs="Times New Roman" w:ascii="Times New Roman" w:hAnsi="Times New Roman"/>
        </w:rPr>
        <w:t xml:space="preserve"> Приложения № 2 к настоящим Правилам), цветочное оформление (</w:t>
      </w:r>
      <w:r>
        <w:fldChar w:fldCharType="begin"/>
      </w:r>
      <w:r>
        <w:instrText> HYPERLINK "http://www.garant.ru/products/ipo/prime/doc/70018446/" \l "2400"</w:instrText>
      </w:r>
      <w:r>
        <w:fldChar w:fldCharType="separate"/>
      </w:r>
      <w:r>
        <w:rPr>
          <w:rStyle w:val="Style5"/>
          <w:rFonts w:eastAsia="Times New Roman" w:cs="Times New Roman" w:ascii="Times New Roman" w:hAnsi="Times New Roman"/>
        </w:rPr>
        <w:t>таблица 4</w:t>
      </w:r>
      <w:r>
        <w:fldChar w:fldCharType="end"/>
      </w:r>
      <w:r>
        <w:rPr>
          <w:rFonts w:eastAsia="Times New Roman" w:cs="Times New Roman" w:ascii="Times New Roman" w:hAnsi="Times New Roman"/>
        </w:rPr>
        <w:t xml:space="preserve"> Приложения № 2 к настоящим Правилам). Обязательное цветочное оформление следует вводить только при условии комплексной оценки территории конкретного объекта с учетом его местоположения, рекреационной нагрузки, наличия иных близлежащих объектов озеленения и цветочного оформления. На территориях с большой площадью замощенных поверхностей, высокой плотностью застройки и подземных коммуникаций для целей озеленения следует использовать отмостки зданий, поверхности фасадов и крыш, мобильное озеленение.</w:t>
      </w:r>
    </w:p>
    <w:p>
      <w:pPr>
        <w:pStyle w:val="Normal"/>
        <w:ind w:firstLine="567"/>
        <w:jc w:val="both"/>
        <w:rPr/>
      </w:pPr>
      <w:r>
        <w:rPr>
          <w:rFonts w:eastAsia="Times New Roman" w:cs="Times New Roman" w:ascii="Times New Roman" w:hAnsi="Times New Roman"/>
        </w:rPr>
        <w:t>8. При посадке деревьев в зонах действия теплотрасс рекомендуется учитывать фактор прогревания почвы в обе стороны от оси теплотрассы на расстояние: интенсивного прогревания - до 2 м, среднего - 2-6 м, слабого - 6-10 м. У теплотрасс не рекомендуется размещать многолетние деревья ближе 3-4 м.</w:t>
      </w:r>
    </w:p>
    <w:p>
      <w:pPr>
        <w:pStyle w:val="Normal"/>
        <w:ind w:firstLine="567"/>
        <w:jc w:val="both"/>
        <w:rPr/>
      </w:pPr>
      <w:r>
        <w:rPr>
          <w:rFonts w:eastAsia="Times New Roman" w:cs="Times New Roman" w:ascii="Times New Roman" w:hAnsi="Times New Roman"/>
        </w:rPr>
        <w:t>9. При воздействии неблагоприятных техногенных и климатических факторов на различные территории ВТРК "Архыз" рекомендуется формировать защитные насаждения; при воздействии нескольких факторов рекомендуется выбирать ведущий по интенсивности и (или) наиболее значимый для функционального назначения территории.</w:t>
      </w:r>
    </w:p>
    <w:p>
      <w:pPr>
        <w:pStyle w:val="Normal"/>
        <w:ind w:firstLine="567"/>
        <w:jc w:val="both"/>
        <w:rPr/>
      </w:pPr>
      <w:r>
        <w:rPr>
          <w:rFonts w:eastAsia="Times New Roman" w:cs="Times New Roman" w:ascii="Times New Roman" w:hAnsi="Times New Roman"/>
        </w:rPr>
        <w:t xml:space="preserve">Для защиты от ветра рекомендуется использовать зеленые насаждения ажурной конструкции с вертикальной </w:t>
      </w:r>
      <w:r>
        <w:fldChar w:fldCharType="begin"/>
      </w:r>
      <w:r>
        <w:instrText> HYPERLINK "http://www.garant.ru/products/ipo/prime/doc/70018446/" \l "11"</w:instrText>
      </w:r>
      <w:r>
        <w:fldChar w:fldCharType="separate"/>
      </w:r>
      <w:r>
        <w:rPr>
          <w:rStyle w:val="Style5"/>
          <w:rFonts w:eastAsia="Times New Roman" w:cs="Times New Roman" w:ascii="Times New Roman" w:hAnsi="Times New Roman"/>
        </w:rPr>
        <w:t>сомкнутостью полога</w:t>
      </w:r>
      <w:r>
        <w:fldChar w:fldCharType="end"/>
      </w:r>
      <w:r>
        <w:rPr>
          <w:rFonts w:eastAsia="Times New Roman" w:cs="Times New Roman" w:ascii="Times New Roman" w:hAnsi="Times New Roman"/>
        </w:rPr>
        <w:t xml:space="preserve"> 60-70 %.</w:t>
      </w:r>
    </w:p>
    <w:p>
      <w:pPr>
        <w:pStyle w:val="Normal"/>
        <w:ind w:firstLine="567"/>
        <w:jc w:val="both"/>
        <w:rPr/>
      </w:pPr>
      <w:r>
        <w:rPr>
          <w:rFonts w:eastAsia="Times New Roman" w:cs="Times New Roman" w:ascii="Times New Roman" w:hAnsi="Times New Roman"/>
        </w:rPr>
        <w:t xml:space="preserve">Шумозащитные насаждения рекомендуется проектировать в виде однорядных или многорядных рядовых посадок не ниже 7 м, обеспечивая в ряду расстояния между стволами взрослых деревьев 8-10 м (с широкой кроной), 5-6 м (со средней кроной), 3-4 м (с узкой кроной), подкроновое пространство следует заполнять рядами кустарника. Ожидаемый уровень снижения шума указан в </w:t>
      </w:r>
      <w:r>
        <w:fldChar w:fldCharType="begin"/>
      </w:r>
      <w:r>
        <w:instrText> HYPERLINK "http://www.garant.ru/products/ipo/prime/doc/70018446/" \l "2700"</w:instrText>
      </w:r>
      <w:r>
        <w:fldChar w:fldCharType="separate"/>
      </w:r>
      <w:r>
        <w:rPr>
          <w:rStyle w:val="Style5"/>
          <w:rFonts w:eastAsia="Times New Roman" w:cs="Times New Roman" w:ascii="Times New Roman" w:hAnsi="Times New Roman"/>
        </w:rPr>
        <w:t>таблице 7</w:t>
      </w:r>
      <w:r>
        <w:fldChar w:fldCharType="end"/>
      </w:r>
      <w:r>
        <w:rPr>
          <w:rFonts w:eastAsia="Times New Roman" w:cs="Times New Roman" w:ascii="Times New Roman" w:hAnsi="Times New Roman"/>
        </w:rPr>
        <w:t xml:space="preserve"> Приложения № 2 к настоящим Правилам.</w:t>
      </w:r>
    </w:p>
    <w:p>
      <w:pPr>
        <w:pStyle w:val="Normal"/>
        <w:ind w:firstLine="567"/>
        <w:jc w:val="both"/>
        <w:rPr/>
      </w:pPr>
      <w:r>
        <w:rPr>
          <w:rFonts w:eastAsia="Times New Roman" w:cs="Times New Roman" w:ascii="Times New Roman" w:hAnsi="Times New Roman"/>
        </w:rPr>
        <w:t xml:space="preserve">10. Стационарное </w:t>
      </w:r>
      <w:r>
        <w:fldChar w:fldCharType="begin"/>
      </w:r>
      <w:r>
        <w:instrText> HYPERLINK "http://www.garant.ru/products/ipo/prime/doc/70018446/" \l "5"</w:instrText>
      </w:r>
      <w:r>
        <w:fldChar w:fldCharType="separate"/>
      </w:r>
      <w:r>
        <w:rPr>
          <w:rStyle w:val="Style5"/>
          <w:rFonts w:eastAsia="Times New Roman" w:cs="Times New Roman" w:ascii="Times New Roman" w:hAnsi="Times New Roman"/>
        </w:rPr>
        <w:t>крышное озеленение</w:t>
      </w:r>
      <w:r>
        <w:fldChar w:fldCharType="end"/>
      </w:r>
      <w:r>
        <w:rPr>
          <w:rFonts w:eastAsia="Times New Roman" w:cs="Times New Roman" w:ascii="Times New Roman" w:hAnsi="Times New Roman"/>
        </w:rPr>
        <w:t xml:space="preserve"> может быть предусмотрено при проектировании новых, реконструкции и капитальном ремонте существующих зданий и сооружений, имеющих неэксплуатируемую крышу с уклоном не более 45 градусов. Мобильное или смешанное (стационарное и мобильное) крышное озеленение может предусматриваться при проектировании новых, реконструкции и капитальном ремонте существующих зданий и сооружений любого назначения, имеющих эксплуатируемую крышу с архитектурно-ландшафтным и объектами.</w:t>
      </w:r>
    </w:p>
    <w:p>
      <w:pPr>
        <w:pStyle w:val="Normal"/>
        <w:ind w:firstLine="567"/>
        <w:jc w:val="both"/>
        <w:rPr/>
      </w:pPr>
      <w:r>
        <w:rPr>
          <w:rFonts w:eastAsia="Times New Roman" w:cs="Times New Roman" w:ascii="Times New Roman" w:hAnsi="Times New Roman"/>
        </w:rPr>
        <w:t>11. При реконструкции и капитальном ремонте зданий и сооружений возможность устройства крышного озеленения рекомендуется определять расчетом прочности, устойчивости и деформативности существующих несущих конструкций.</w:t>
      </w:r>
    </w:p>
    <w:p>
      <w:pPr>
        <w:pStyle w:val="Normal"/>
        <w:ind w:firstLine="567"/>
        <w:jc w:val="both"/>
        <w:rPr/>
      </w:pPr>
      <w:r>
        <w:rPr>
          <w:rFonts w:eastAsia="Times New Roman" w:cs="Times New Roman" w:ascii="Times New Roman" w:hAnsi="Times New Roman"/>
        </w:rPr>
        <w:t>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следует подтверждать технико-экономическим обоснованием.</w:t>
      </w:r>
    </w:p>
    <w:p>
      <w:pPr>
        <w:pStyle w:val="Normal"/>
        <w:ind w:firstLine="567"/>
        <w:jc w:val="both"/>
        <w:rPr/>
      </w:pPr>
      <w:r>
        <w:rPr>
          <w:rFonts w:eastAsia="Times New Roman" w:cs="Times New Roman" w:ascii="Times New Roman" w:hAnsi="Times New Roman"/>
        </w:rPr>
        <w:t>12. Расчетную нагрузку от системы озеленения следует определять с учетом веса растений, почвенного субстрата, дренажа, противокорневой защиты кровли, впитавшейся в грунт дождевой или поливочной воды и других элементов покрытия.</w:t>
      </w:r>
    </w:p>
    <w:p>
      <w:pPr>
        <w:pStyle w:val="Normal"/>
        <w:ind w:firstLine="567"/>
        <w:jc w:val="both"/>
        <w:rPr/>
      </w:pPr>
      <w:r>
        <w:rPr>
          <w:rFonts w:eastAsia="Times New Roman" w:cs="Times New Roman" w:ascii="Times New Roman" w:hAnsi="Times New Roman"/>
        </w:rPr>
        <w:t>Вес крышного озеленения, не требующего ухода, рекомендуется не превышать 70 кг/кв. м, а озеленения с постоянным уходом - 800 кг/кв. м.</w:t>
      </w:r>
    </w:p>
    <w:p>
      <w:pPr>
        <w:pStyle w:val="Normal"/>
        <w:ind w:firstLine="567"/>
        <w:jc w:val="both"/>
        <w:rPr/>
      </w:pPr>
      <w:r>
        <w:rPr>
          <w:rFonts w:eastAsia="Times New Roman" w:cs="Times New Roman" w:ascii="Times New Roman" w:hAnsi="Times New Roman"/>
        </w:rPr>
        <w:t xml:space="preserve">13. Стационарное, мобильное и смешанное </w:t>
      </w:r>
      <w:r>
        <w:fldChar w:fldCharType="begin"/>
      </w:r>
      <w:r>
        <w:instrText> HYPERLINK "http://www.garant.ru/products/ipo/prime/doc/70018446/" \l "3"</w:instrText>
      </w:r>
      <w:r>
        <w:fldChar w:fldCharType="separate"/>
      </w:r>
      <w:r>
        <w:rPr>
          <w:rStyle w:val="Style5"/>
          <w:rFonts w:eastAsia="Times New Roman" w:cs="Times New Roman" w:ascii="Times New Roman" w:hAnsi="Times New Roman"/>
        </w:rPr>
        <w:t>вертикальное озеленение</w:t>
      </w:r>
      <w:r>
        <w:fldChar w:fldCharType="end"/>
      </w:r>
      <w:r>
        <w:rPr>
          <w:rFonts w:eastAsia="Times New Roman" w:cs="Times New Roman" w:ascii="Times New Roman" w:hAnsi="Times New Roman"/>
        </w:rPr>
        <w:t xml:space="preserve"> может предусматриваться при разработке проектов строительства, реконструкции и капитального ремонта зданий и сооружений любого назначения, их фрагментов, если эти здания и сооружения имеют фасады или широкие (шириной не менее 5 м) плоскости наружных стен без проемов. Высоту вертикального озеленение рекомендуется ограничивать тремя этажами.</w:t>
      </w:r>
    </w:p>
    <w:p>
      <w:pPr>
        <w:pStyle w:val="Normal"/>
        <w:ind w:firstLine="567"/>
        <w:jc w:val="both"/>
        <w:rPr/>
      </w:pPr>
      <w:r>
        <w:rPr>
          <w:rFonts w:eastAsia="Times New Roman" w:cs="Times New Roman" w:ascii="Times New Roman" w:hAnsi="Times New Roman"/>
        </w:rPr>
        <w:t>14. При проектировании строительства и реконструкции зданий и сооружений с малоуклонными крышами на территориях ВТРК "Архыз" со сложившейся высокоплотной застройкой может быть предусмотрено обязательное устройство крышного и вертикального озеленения.</w:t>
      </w:r>
    </w:p>
    <w:p>
      <w:pPr>
        <w:pStyle w:val="Normal"/>
        <w:ind w:firstLine="567"/>
        <w:jc w:val="both"/>
        <w:rPr/>
      </w:pPr>
      <w:r>
        <w:rPr>
          <w:rFonts w:eastAsia="Times New Roman" w:cs="Times New Roman" w:ascii="Times New Roman" w:hAnsi="Times New Roman"/>
        </w:rPr>
        <w:t>15. Крышное и вертикальное озеленение, как правило, не должно носить компенсационный характер. Исключение может составлять крышное озеленение подземных сооружений, кровля которых располагается на отметке участка, а также кустарники и деревья, посаженные в опоры-колодцы зданий или сооружений с глубиной развития корневой системы растения не менее 3 м.</w:t>
      </w:r>
    </w:p>
    <w:p>
      <w:pPr>
        <w:pStyle w:val="Normal"/>
        <w:ind w:firstLine="567"/>
        <w:jc w:val="both"/>
        <w:rPr/>
      </w:pPr>
      <w:r>
        <w:rPr>
          <w:rFonts w:eastAsia="Times New Roman" w:cs="Times New Roman" w:ascii="Times New Roman" w:hAnsi="Times New Roman"/>
        </w:rPr>
        <w:t>16. Площадь крышного озеленения не следует включать в показатель территории зеленых насаждений при подсчете баланса территории участка проектируемого объекта.</w:t>
      </w:r>
    </w:p>
    <w:p>
      <w:pPr>
        <w:pStyle w:val="Normal"/>
        <w:ind w:firstLine="567"/>
        <w:jc w:val="both"/>
        <w:rPr/>
      </w:pPr>
      <w:r>
        <w:rPr>
          <w:rFonts w:eastAsia="Times New Roman" w:cs="Times New Roman" w:ascii="Times New Roman" w:hAnsi="Times New Roman"/>
        </w:rPr>
        <w:t>Площадь наружных поверхностей зданий и сооружений, подготовленных для вертикального озеленения, следует указывать в разделе "Благоустройство" проектов строительства, реконструкции и капитального ремонта зданий и сооружений, а также проектов благоустройства участков зданий и сооружений.</w:t>
      </w:r>
    </w:p>
    <w:p>
      <w:pPr>
        <w:pStyle w:val="Normal"/>
        <w:ind w:firstLine="567"/>
        <w:jc w:val="both"/>
        <w:rPr/>
      </w:pPr>
      <w:r>
        <w:rPr>
          <w:rFonts w:eastAsia="Times New Roman" w:cs="Times New Roman" w:ascii="Times New Roman" w:hAnsi="Times New Roman"/>
        </w:rPr>
        <w:t>17. При проектировании крышного и вертикального озеленения следует предусматривать 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здания или сооружения, на которых размещены указанные виды озеленения.</w:t>
      </w:r>
    </w:p>
    <w:p>
      <w:pPr>
        <w:pStyle w:val="Normal"/>
        <w:ind w:firstLine="567"/>
        <w:jc w:val="both"/>
        <w:rPr/>
      </w:pPr>
      <w:r>
        <w:rPr>
          <w:rFonts w:eastAsia="Times New Roman" w:cs="Times New Roman" w:ascii="Times New Roman" w:hAnsi="Times New Roman"/>
        </w:rPr>
        <w:t>18. В целях предотвращения повреждения растениями отделки фасадов зданий и сооружений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w:t>
      </w:r>
    </w:p>
    <w:p>
      <w:pPr>
        <w:pStyle w:val="Normal"/>
        <w:ind w:firstLine="567"/>
        <w:jc w:val="both"/>
        <w:rPr/>
      </w:pPr>
      <w:r>
        <w:rPr>
          <w:rFonts w:eastAsia="Times New Roman" w:cs="Times New Roman" w:ascii="Times New Roman" w:hAnsi="Times New Roman"/>
        </w:rPr>
        <w:t>При размещении таких конструкций необходимо учитывать обеспечение наличия воздушного зазора между растениями и фасадом. Величину воздушного зазора рекомендуется назначать в зависимости от вида используемых растений не менее 20 см.</w:t>
      </w:r>
    </w:p>
    <w:p>
      <w:pPr>
        <w:pStyle w:val="Normal"/>
        <w:ind w:firstLine="567"/>
        <w:jc w:val="both"/>
        <w:rPr/>
      </w:pPr>
      <w:r>
        <w:rPr>
          <w:rFonts w:eastAsia="Times New Roman" w:cs="Times New Roman" w:ascii="Times New Roman" w:hAnsi="Times New Roman"/>
        </w:rPr>
        <w:t>19. Устройство крышного и вертикального озеленения на зданиях и сооружениях, как правило, не должно приводить к нарушению предъявляемых к ним противопожарных требований.</w:t>
      </w:r>
    </w:p>
    <w:p>
      <w:pPr>
        <w:pStyle w:val="Normal"/>
        <w:ind w:firstLine="567"/>
        <w:jc w:val="both"/>
        <w:rPr/>
      </w:pPr>
      <w:r>
        <w:rPr>
          <w:rFonts w:eastAsia="Times New Roman" w:cs="Times New Roman" w:ascii="Times New Roman" w:hAnsi="Times New Roman"/>
        </w:rPr>
        <w:t>Практически озеленение неэксплуатируемых крыш рекомендуется применять в тех случаях, когда их отметка не превышает отметку отмостки более чем на 18 метров.</w:t>
      </w:r>
    </w:p>
    <w:p>
      <w:pPr>
        <w:pStyle w:val="Normal"/>
        <w:ind w:firstLine="567"/>
        <w:jc w:val="both"/>
        <w:rPr/>
      </w:pPr>
      <w:r>
        <w:rPr>
          <w:rFonts w:eastAsia="Times New Roman" w:cs="Times New Roman" w:ascii="Times New Roman" w:hAnsi="Times New Roman"/>
        </w:rPr>
        <w:t>При проектировании озеленения эксплуатируемых крыш их отметка над отмосткой здания или сооружения не регламентируется. На практике рекомендуется, чтобы архитектурно-ландшафтные объекты на эксплуатируемой крыше располагались на высоте не более 50 м над территорией, прилегающей к зданию или сооружению.</w:t>
      </w:r>
    </w:p>
    <w:p>
      <w:pPr>
        <w:pStyle w:val="Normal"/>
        <w:ind w:firstLine="567"/>
        <w:jc w:val="both"/>
        <w:rPr/>
      </w:pPr>
      <w:r>
        <w:rPr>
          <w:rFonts w:eastAsia="Times New Roman" w:cs="Times New Roman" w:ascii="Times New Roman" w:hAnsi="Times New Roman"/>
        </w:rPr>
        <w:t>20. Следует учитывать, что устройство озелененных и благоустроенных объектов на крышах складских и производственных зданий с помещениями категории "А" и "Б" по взрывопожарной и пожарной опасности, а также на зданиях с крышными котельными не допускается.</w:t>
      </w:r>
    </w:p>
    <w:p>
      <w:pPr>
        <w:pStyle w:val="Normal"/>
        <w:ind w:firstLine="567"/>
        <w:jc w:val="both"/>
        <w:rPr/>
      </w:pPr>
      <w:r>
        <w:rPr>
          <w:rFonts w:eastAsia="Times New Roman" w:cs="Times New Roman" w:ascii="Times New Roman" w:hAnsi="Times New Roman"/>
        </w:rPr>
        <w:t>Архитектурно-ландшафтные объекты и здания, на крышах которых они размещаются, следует оборудовать автоматической противопожарной защитой.</w:t>
      </w:r>
    </w:p>
    <w:p>
      <w:pPr>
        <w:pStyle w:val="Normal"/>
        <w:ind w:firstLine="567"/>
        <w:jc w:val="both"/>
        <w:rPr/>
      </w:pPr>
      <w:r>
        <w:rPr>
          <w:rFonts w:eastAsia="Times New Roman" w:cs="Times New Roman" w:ascii="Times New Roman" w:hAnsi="Times New Roman"/>
        </w:rPr>
        <w:t>21. Конструкции, применяемые для вертикального озеленения, рекомендуется выполнять из долговечных и огнестойких материалов. В случае использования в них древесины рекомендуется ее предварительно пропитывать антипиренами. В местах крепления конструкции к фасаду следует обеспечивать сохранность наружных ограждений озеленяемого объекта.</w:t>
      </w:r>
    </w:p>
    <w:p>
      <w:pPr>
        <w:pStyle w:val="Normal"/>
        <w:ind w:firstLine="567"/>
        <w:jc w:val="both"/>
        <w:rPr/>
      </w:pPr>
      <w:r>
        <w:rPr>
          <w:rFonts w:eastAsia="Times New Roman" w:cs="Times New Roman" w:ascii="Times New Roman" w:hAnsi="Times New Roman"/>
        </w:rPr>
        <w:t>22. Отвод избыточной дождевой и поливочной воды на озелененных крышах рекомендуется осуществлять с использованием предусмотренного в здании или сооружении водостока. Участки кровли, по которым производится отвод избыточной воды, рекомендуется выполнять с уклоном к водоотводящим устройствам не менее 2 %.</w:t>
      </w:r>
    </w:p>
    <w:p>
      <w:pPr>
        <w:pStyle w:val="Normal"/>
        <w:ind w:firstLine="567"/>
        <w:jc w:val="both"/>
        <w:rPr/>
      </w:pPr>
      <w:r>
        <w:rPr>
          <w:rFonts w:eastAsia="Times New Roman" w:cs="Times New Roman" w:ascii="Times New Roman" w:hAnsi="Times New Roman"/>
        </w:rPr>
        <w:t>23. При размещении на крыше здания или сооружения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рекомендуется устанавливать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рекомендуется устанавливать сетчатое металлическое ограждение.</w:t>
      </w:r>
    </w:p>
    <w:p>
      <w:pPr>
        <w:pStyle w:val="Normal"/>
        <w:ind w:firstLine="567"/>
        <w:jc w:val="both"/>
        <w:rPr/>
      </w:pPr>
      <w:r>
        <w:rPr>
          <w:rFonts w:eastAsia="Times New Roman" w:cs="Times New Roman" w:ascii="Times New Roman" w:hAnsi="Times New Roman"/>
        </w:rPr>
        <w:t>24. При устройстве стационарного газонного озеленения (рулонного или сеянного в почвенный субстрат) на крышах стилобатов разница отметок верха газона и низа окон основного здания, выходящих в сторону стилобата, рекомендуется устанавливать не менее 1 м. При невозможности выполнения этого требования на реконструируемых или ремонтируемых объектах газон на крыше стилобата может выполняться с отступом шириной не менее 1 м от наружной стены здания.</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82" w:name="_Toc424230678"/>
      <w:bookmarkEnd w:id="282"/>
      <w:r>
        <w:rPr>
          <w:rFonts w:eastAsia="Times New Roman" w:cs="Times New Roman"/>
        </w:rPr>
        <w:t>Статья 38. Виды покрытий</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1. Покрытия поверхности обеспечивают на территории ВТРК "Архыз" условия безопасного и комфортного передвижения, а также формируют архитектурно-художественный облик среды. Для целей благоустройства территории рекомендуется определять следующие виды покрытий:</w:t>
      </w:r>
    </w:p>
    <w:p>
      <w:pPr>
        <w:pStyle w:val="Normal"/>
        <w:ind w:firstLine="567"/>
        <w:jc w:val="both"/>
        <w:rPr/>
      </w:pPr>
      <w:r>
        <w:rPr>
          <w:rFonts w:eastAsia="Times New Roman" w:cs="Times New Roman" w:ascii="Times New Roman" w:hAnsi="Times New Roman"/>
        </w:rPr>
        <w:t>- твердые (капитальные) - монолитные или сборные, выполняемые из асфальтобетона, цементобетона, природного камня и подобных материалов;</w:t>
      </w:r>
    </w:p>
    <w:p>
      <w:pPr>
        <w:pStyle w:val="Normal"/>
        <w:ind w:firstLine="567"/>
        <w:jc w:val="both"/>
        <w:rPr/>
      </w:pPr>
      <w:r>
        <w:rPr>
          <w:rFonts w:eastAsia="Times New Roman" w:cs="Times New Roman" w:ascii="Times New Roman" w:hAnsi="Times New Roman"/>
        </w:rPr>
        <w:t>- мягкие (некапитальные) - выполняемые из природных или искусственных сыпучих материалов (песок, щебень, гранитные высевки, керамзит, резиновая крошка), находящихся в естественном состоянии, сухих смесях, уплотненных или укрепленных вяжущими;</w:t>
      </w:r>
    </w:p>
    <w:p>
      <w:pPr>
        <w:pStyle w:val="Normal"/>
        <w:ind w:firstLine="567"/>
        <w:jc w:val="both"/>
        <w:rPr/>
      </w:pPr>
      <w:r>
        <w:rPr>
          <w:rFonts w:eastAsia="Times New Roman" w:cs="Times New Roman" w:ascii="Times New Roman" w:hAnsi="Times New Roman"/>
        </w:rPr>
        <w:t>- газонные, выполняемые по специальным технологиям подготовки и посадки травяного покрова;</w:t>
      </w:r>
    </w:p>
    <w:p>
      <w:pPr>
        <w:pStyle w:val="Normal"/>
        <w:ind w:firstLine="567"/>
        <w:jc w:val="both"/>
        <w:rPr/>
      </w:pPr>
      <w:r>
        <w:rPr>
          <w:rFonts w:eastAsia="Times New Roman" w:cs="Times New Roman" w:ascii="Times New Roman" w:hAnsi="Times New Roman"/>
        </w:rPr>
        <w:t>- комбинированные, представляющие сочетания покрытий, указанных выше (например, плитка, утопленная в газон).</w:t>
      </w:r>
    </w:p>
    <w:p>
      <w:pPr>
        <w:pStyle w:val="Normal"/>
        <w:ind w:firstLine="567"/>
        <w:jc w:val="both"/>
        <w:rPr/>
      </w:pPr>
      <w:r>
        <w:rPr>
          <w:rFonts w:eastAsia="Times New Roman" w:cs="Times New Roman" w:ascii="Times New Roman" w:hAnsi="Times New Roman"/>
        </w:rPr>
        <w:t>2. На территории ВТРК "Архыз" не рекомендуется допускать наличия участков почвы без перечисленных видов покрытий за исключением дорожно-тропиночной сети на особо охраняемых территориях зон особо охраняемых природных территорий и участков территории в процессе реконструкции и строительства.</w:t>
      </w:r>
    </w:p>
    <w:p>
      <w:pPr>
        <w:pStyle w:val="Normal"/>
        <w:ind w:firstLine="567"/>
        <w:jc w:val="both"/>
        <w:rPr/>
      </w:pPr>
      <w:r>
        <w:rPr>
          <w:rFonts w:eastAsia="Times New Roman" w:cs="Times New Roman" w:ascii="Times New Roman" w:hAnsi="Times New Roman"/>
        </w:rPr>
        <w:t>3. Применяемый в проекте вид покрытия рекомендуется устанавливать прочным, ремонтопригодным, экологичным, не допускающим скольжения. Выбор видов покрытия следует принимать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 при благоустройстве отдельных видов территорий (детских, спортивных площадок, прогулочных дорожек и т.п. объектов); газонных и комбинированных, как наиболее экологичных.</w:t>
      </w:r>
    </w:p>
    <w:p>
      <w:pPr>
        <w:pStyle w:val="Normal"/>
        <w:ind w:firstLine="567"/>
        <w:jc w:val="both"/>
        <w:rPr/>
      </w:pPr>
      <w:r>
        <w:rPr>
          <w:rFonts w:eastAsia="Times New Roman" w:cs="Times New Roman" w:ascii="Times New Roman" w:hAnsi="Times New Roman"/>
        </w:rPr>
        <w:t>4. Твердые виды покрытия рекомендуется устанавливать с шероховатой поверхностью с коэффициентом сцепления в сухом состоянии не менее 0,6, в мокром - не менее 0,4. Следует не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pPr>
        <w:pStyle w:val="Normal"/>
        <w:ind w:firstLine="567"/>
        <w:jc w:val="both"/>
        <w:rPr/>
      </w:pPr>
      <w:r>
        <w:rPr>
          <w:rFonts w:eastAsia="Times New Roman" w:cs="Times New Roman" w:ascii="Times New Roman" w:hAnsi="Times New Roman"/>
        </w:rPr>
        <w:t>5. Следует предусматривать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его следует назначать не менее 4 %</w:t>
      </w:r>
      <w:r>
        <w:rPr>
          <w:rFonts w:eastAsia="Times New Roman" w:cs="Times New Roman" w:ascii="Times New Roman" w:hAnsi="Times New Roman"/>
          <w:sz w:val="20"/>
        </w:rPr>
        <w:t>о</w:t>
      </w:r>
      <w:r>
        <w:rPr>
          <w:rFonts w:eastAsia="Times New Roman" w:cs="Times New Roman" w:ascii="Times New Roman" w:hAnsi="Times New Roman"/>
        </w:rPr>
        <w:t>; при отсутствии системы дождевой канализации - не менее 5 %о. Максимальные уклоны следует назначать в зависимости от условий движения транспорта и пешеходов.</w:t>
      </w:r>
    </w:p>
    <w:p>
      <w:pPr>
        <w:pStyle w:val="Normal"/>
        <w:ind w:firstLine="567"/>
        <w:jc w:val="both"/>
        <w:rPr/>
      </w:pPr>
      <w:r>
        <w:rPr>
          <w:rFonts w:eastAsia="Times New Roman" w:cs="Times New Roman" w:ascii="Times New Roman" w:hAnsi="Times New Roman"/>
        </w:rPr>
        <w:t>6. На территории общественных пространств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w:t>
      </w:r>
      <w:r>
        <w:fldChar w:fldCharType="begin"/>
      </w:r>
      <w:r>
        <w:instrText> HYPERLINK "http://www.garant.ru/products/ipo/prime/doc/70018446/" \l "12"</w:instrText>
      </w:r>
      <w:r>
        <w:fldChar w:fldCharType="separate"/>
      </w:r>
      <w:r>
        <w:rPr>
          <w:rStyle w:val="Style5"/>
          <w:rFonts w:eastAsia="Times New Roman" w:cs="Times New Roman" w:ascii="Times New Roman" w:hAnsi="Times New Roman"/>
        </w:rPr>
        <w:t>тактильного покрытия</w:t>
      </w:r>
      <w:r>
        <w:fldChar w:fldCharType="end"/>
      </w:r>
      <w:r>
        <w:rPr>
          <w:rFonts w:eastAsia="Times New Roman" w:cs="Times New Roman" w:ascii="Times New Roman" w:hAnsi="Times New Roman"/>
        </w:rPr>
        <w:t>. Тактильное покрытие рекомендуется начинать на расстоянии не менее, чем за 0,8 м до преграды, края улицы, начала опасного участка, изменения направления движения.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pPr>
        <w:pStyle w:val="Normal"/>
        <w:ind w:firstLine="567"/>
        <w:jc w:val="both"/>
        <w:rPr/>
      </w:pPr>
      <w:r>
        <w:rPr>
          <w:rFonts w:eastAsia="Times New Roman" w:cs="Times New Roman" w:ascii="Times New Roman" w:hAnsi="Times New Roman"/>
        </w:rPr>
        <w:t>7. Для деревьев, расположенных в мощении, при отсутствии иных видов защиты (приствольных решеток, бордюров, периметральных скамеек) рекомендуется предусматривать выполнение защитных видов покрытий в радиусе не менее 1,5 м от ствола: щебеночное, галечное, "соты" с засевом газона. Защитное покрытие может быть выполнено в одном уровне или выше покрытия пешеходных коммуникаций.</w:t>
      </w:r>
    </w:p>
    <w:p>
      <w:pPr>
        <w:pStyle w:val="Normal"/>
        <w:ind w:firstLine="567"/>
        <w:jc w:val="both"/>
        <w:rPr/>
      </w:pPr>
      <w:r>
        <w:rPr>
          <w:rFonts w:eastAsia="Times New Roman" w:cs="Times New Roman" w:ascii="Times New Roman" w:hAnsi="Times New Roman"/>
        </w:rPr>
        <w:t>8. Колористическое решение применяемого вида покрытия рекомендуется выполнять с учетом цветового решения формируемой среды, а на территориях общественных пространств населенного пункта - соответствующей концепции цветового решения этих территорий.</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83" w:name="_Toc424230679"/>
      <w:bookmarkEnd w:id="283"/>
      <w:r>
        <w:rPr>
          <w:rFonts w:eastAsia="Times New Roman" w:cs="Times New Roman"/>
        </w:rPr>
        <w:t>Статья 39. Сопряжения поверхностей</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1. К элементам сопряжения поверхностей обычно относят различные виды бортовых камней, пандусы, ступени, лестницы.</w:t>
      </w:r>
    </w:p>
    <w:p>
      <w:pPr>
        <w:pStyle w:val="Normal"/>
        <w:ind w:firstLine="567"/>
        <w:jc w:val="both"/>
        <w:rPr/>
      </w:pPr>
      <w:r>
        <w:rPr>
          <w:rFonts w:eastAsia="Times New Roman" w:cs="Times New Roman" w:ascii="Times New Roman" w:hAnsi="Times New Roman"/>
        </w:rPr>
        <w:t>2. На стыке тротуара и проезжей части, как правило, следует устанавливать дорожные бортовые камни. Бортовые камни рекомендуется устанавливать с нормативным превышением над уровнем проезжей части не менее 150 мм, которое должно сохраняться и в случае ремонта поверхностей покрытий.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pPr>
        <w:pStyle w:val="Normal"/>
        <w:ind w:firstLine="567"/>
        <w:jc w:val="both"/>
        <w:rPr/>
      </w:pPr>
      <w:r>
        <w:rPr>
          <w:rFonts w:eastAsia="Times New Roman" w:cs="Times New Roman" w:ascii="Times New Roman" w:hAnsi="Times New Roman"/>
        </w:rPr>
        <w:t xml:space="preserve">3. При сопряжении покрытия пешеходных коммуникаций с газоном можно устанавливать садовый борт, дающий превышение над уровнем газона не менее 50 мм на расстоянии не менее 0,5 м, что защищает газон и предотвращает попадание грязи и растительного мусора на покрытие, увеличивая срок его службы. На территории </w:t>
      </w:r>
      <w:r>
        <w:fldChar w:fldCharType="begin"/>
      </w:r>
      <w:r>
        <w:instrText> HYPERLINK "http://www.garant.ru/products/ipo/prime/doc/70018446/" \l "7"</w:instrText>
      </w:r>
      <w:r>
        <w:fldChar w:fldCharType="separate"/>
      </w:r>
      <w:r>
        <w:rPr>
          <w:rStyle w:val="Style5"/>
          <w:rFonts w:eastAsia="Times New Roman" w:cs="Times New Roman" w:ascii="Times New Roman" w:hAnsi="Times New Roman"/>
        </w:rPr>
        <w:t>пешеходных зон</w:t>
      </w:r>
      <w:r>
        <w:fldChar w:fldCharType="end"/>
      </w:r>
      <w:r>
        <w:rPr>
          <w:rFonts w:eastAsia="Times New Roman" w:cs="Times New Roman" w:ascii="Times New Roman" w:hAnsi="Times New Roman"/>
        </w:rPr>
        <w:t xml:space="preserve"> возможно использование естественных материалов (кирпич, дерево, валуны, керамический борт) для оформления примыкания различных типов покрытия.</w:t>
      </w:r>
    </w:p>
    <w:p>
      <w:pPr>
        <w:pStyle w:val="Normal"/>
        <w:ind w:firstLine="567"/>
        <w:jc w:val="both"/>
        <w:rPr/>
      </w:pPr>
      <w:r>
        <w:rPr>
          <w:rFonts w:eastAsia="Times New Roman" w:cs="Times New Roman" w:ascii="Times New Roman" w:hAnsi="Times New Roman"/>
        </w:rPr>
        <w:t>4. При уклонах пешеходных коммуникаций более 60 %</w:t>
      </w:r>
      <w:r>
        <w:rPr>
          <w:rFonts w:eastAsia="Times New Roman" w:cs="Times New Roman" w:ascii="Times New Roman" w:hAnsi="Times New Roman"/>
          <w:sz w:val="20"/>
        </w:rPr>
        <w:t>о</w:t>
      </w:r>
      <w:r>
        <w:rPr>
          <w:rFonts w:eastAsia="Times New Roman" w:cs="Times New Roman" w:ascii="Times New Roman" w:hAnsi="Times New Roman"/>
        </w:rPr>
        <w:t xml:space="preserve"> следует предусматривать устройство лестниц. На основных пешеходных коммуникациях в местах размещения объектов массового посещения ступени и лестницы следует предусматривать при уклонах более 50 %</w:t>
      </w:r>
      <w:r>
        <w:rPr>
          <w:rFonts w:eastAsia="Times New Roman" w:cs="Times New Roman" w:ascii="Times New Roman" w:hAnsi="Times New Roman"/>
          <w:sz w:val="20"/>
        </w:rPr>
        <w:t>о</w:t>
      </w:r>
      <w:r>
        <w:rPr>
          <w:rFonts w:eastAsia="Times New Roman" w:cs="Times New Roman" w:ascii="Times New Roman" w:hAnsi="Times New Roman"/>
        </w:rPr>
        <w:t xml:space="preserve">,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следует предусматривать </w:t>
      </w:r>
      <w:r>
        <w:fldChar w:fldCharType="begin"/>
      </w:r>
      <w:r>
        <w:instrText> HYPERLINK "http://www.garant.ru/products/ipo/prime/doc/70018446/" \l "2"</w:instrText>
      </w:r>
      <w:r>
        <w:fldChar w:fldCharType="separate"/>
      </w:r>
      <w:r>
        <w:rPr>
          <w:rStyle w:val="Style5"/>
          <w:rFonts w:eastAsia="Times New Roman" w:cs="Times New Roman" w:ascii="Times New Roman" w:hAnsi="Times New Roman"/>
        </w:rPr>
        <w:t>бордюрный пандус</w:t>
      </w:r>
      <w:r>
        <w:fldChar w:fldCharType="end"/>
      </w:r>
      <w:r>
        <w:rPr>
          <w:rFonts w:eastAsia="Times New Roman" w:cs="Times New Roman" w:ascii="Times New Roman" w:hAnsi="Times New Roman"/>
        </w:rPr>
        <w:t xml:space="preserve"> для обеспечения спуска с покрытия тротуара на уровень дорожного покрытия.</w:t>
      </w:r>
    </w:p>
    <w:p>
      <w:pPr>
        <w:pStyle w:val="Normal"/>
        <w:ind w:firstLine="567"/>
        <w:jc w:val="both"/>
        <w:rPr/>
      </w:pPr>
      <w:r>
        <w:rPr>
          <w:rFonts w:eastAsia="Times New Roman" w:cs="Times New Roman" w:ascii="Times New Roman" w:hAnsi="Times New Roman"/>
        </w:rPr>
        <w:t>5. При проектировании открытых лестниц на перепадах рельефа высоту ступеней рекомендуется назначать не более 120 мм, ширину - не менее 400 мм и уклон 10-20 %</w:t>
      </w:r>
      <w:r>
        <w:rPr>
          <w:rFonts w:eastAsia="Times New Roman" w:cs="Times New Roman" w:ascii="Times New Roman" w:hAnsi="Times New Roman"/>
          <w:sz w:val="22"/>
        </w:rPr>
        <w:t>о</w:t>
      </w:r>
      <w:r>
        <w:rPr>
          <w:rFonts w:eastAsia="Times New Roman" w:cs="Times New Roman" w:ascii="Times New Roman" w:hAnsi="Times New Roman"/>
        </w:rPr>
        <w:t xml:space="preserve"> в сторону вышележащей ступени. После каждых 10-12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следует устанавливать одинаковыми по ширине и высоте подъема ступеней. При проектировании лестниц в условиях сложного рельефа горной местности высота ступеней может быть увеличена до 150 мм, а ширина ступеней и длина площадки - уменьшена до 300 мм и 1,0 м соответственно.</w:t>
      </w:r>
    </w:p>
    <w:p>
      <w:pPr>
        <w:pStyle w:val="Normal"/>
        <w:ind w:firstLine="567"/>
        <w:jc w:val="both"/>
        <w:rPr/>
      </w:pPr>
      <w:r>
        <w:rPr>
          <w:rFonts w:eastAsia="Times New Roman" w:cs="Times New Roman" w:ascii="Times New Roman" w:hAnsi="Times New Roman"/>
        </w:rPr>
        <w:t xml:space="preserve">6. 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следует предусматривать ограждающий бортик высотой не менее 75 мм и поручни. Зависимость уклона пандуса от высоты подъема рекомендуется принимать по </w:t>
      </w:r>
      <w:r>
        <w:fldChar w:fldCharType="begin"/>
      </w:r>
      <w:r>
        <w:instrText> HYPERLINK "http://www.garant.ru/products/ipo/prime/doc/70018446/" \l "21012"</w:instrText>
      </w:r>
      <w:r>
        <w:fldChar w:fldCharType="separate"/>
      </w:r>
      <w:r>
        <w:rPr>
          <w:rStyle w:val="Style5"/>
          <w:rFonts w:eastAsia="Times New Roman" w:cs="Times New Roman" w:ascii="Times New Roman" w:hAnsi="Times New Roman"/>
        </w:rPr>
        <w:t>таблице 12</w:t>
      </w:r>
      <w:r>
        <w:fldChar w:fldCharType="end"/>
      </w:r>
      <w:r>
        <w:rPr>
          <w:rFonts w:eastAsia="Times New Roman" w:cs="Times New Roman" w:ascii="Times New Roman" w:hAnsi="Times New Roman"/>
        </w:rPr>
        <w:t xml:space="preserve"> Приложения № 2. Уклон бордюрного пандуса следует, как правило, принимать 1:12.</w:t>
      </w:r>
    </w:p>
    <w:p>
      <w:pPr>
        <w:pStyle w:val="Normal"/>
        <w:ind w:firstLine="567"/>
        <w:jc w:val="both"/>
        <w:rPr/>
      </w:pPr>
      <w:r>
        <w:rPr>
          <w:rFonts w:eastAsia="Times New Roman" w:cs="Times New Roman" w:ascii="Times New Roman" w:hAnsi="Times New Roman"/>
        </w:rPr>
        <w:t>7. При повороте пандуса или его протяженности более 9 м, не реже, чем через каждые 9 м рекомендуется предусматривать горизонтальные площадки размером 1,5x1,5 м. На горизонтальных площадках по окончании спуска следует проектировать дренажные устройства. Горизонтальные участки пути в начале и конце пандуса следует выполнять отличающимися от окружающих поверхностей текстурой и цветом.</w:t>
      </w:r>
    </w:p>
    <w:p>
      <w:pPr>
        <w:pStyle w:val="Normal"/>
        <w:ind w:firstLine="567"/>
        <w:jc w:val="both"/>
        <w:rPr/>
      </w:pPr>
      <w:r>
        <w:rPr>
          <w:rFonts w:eastAsia="Times New Roman" w:cs="Times New Roman" w:ascii="Times New Roman" w:hAnsi="Times New Roman"/>
        </w:rPr>
        <w:t>8. По обеим сторонам лестницы или пандуса рекомендуется предусматривать поручни на высоте 800-920 мм круглого или прямоугольного сечения, удобного для охвата рукой и отстоящего от стены на 40 мм. При ширине лестниц 2,5 м и более следует предусматривать разделительные поручни. Длину поручней следует 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p>
    <w:p>
      <w:pPr>
        <w:pStyle w:val="Normal"/>
        <w:ind w:firstLine="567"/>
        <w:jc w:val="both"/>
        <w:rPr/>
      </w:pPr>
      <w:r>
        <w:rPr>
          <w:rFonts w:eastAsia="Times New Roman" w:cs="Times New Roman" w:ascii="Times New Roman" w:hAnsi="Times New Roman"/>
        </w:rPr>
        <w:t xml:space="preserve">2.4.9. В зонах сопряжения земляных (в том числе и с травяным покрытием) откосов с лестницами, пандусами, подпорными стенками, другими техническими инженерными сооружениями рекомендуется выполнять мероприятия согласно </w:t>
      </w:r>
      <w:r>
        <w:fldChar w:fldCharType="begin"/>
      </w:r>
      <w:r>
        <w:instrText> HYPERLINK "http://www.garant.ru/products/ipo/prime/doc/70018446/" \l "215"</w:instrText>
      </w:r>
      <w:r>
        <w:fldChar w:fldCharType="separate"/>
      </w:r>
      <w:r>
        <w:rPr>
          <w:rStyle w:val="Style5"/>
          <w:rFonts w:eastAsia="Times New Roman" w:cs="Times New Roman" w:ascii="Times New Roman" w:hAnsi="Times New Roman"/>
        </w:rPr>
        <w:t>статье</w:t>
      </w:r>
      <w:r>
        <w:fldChar w:fldCharType="end"/>
      </w:r>
      <w:r>
        <w:rPr>
          <w:rFonts w:eastAsia="Times New Roman" w:cs="Times New Roman" w:ascii="Times New Roman" w:hAnsi="Times New Roman"/>
        </w:rPr>
        <w:t xml:space="preserve"> 40 настоящих Правил.</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84" w:name="_Toc424230680"/>
      <w:bookmarkEnd w:id="284"/>
      <w:r>
        <w:rPr>
          <w:rFonts w:eastAsia="Times New Roman" w:cs="Times New Roman"/>
        </w:rPr>
        <w:t>Статья 40. Ограждения</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1. В целях благоустройства на территории ВТРК "Архыз" рекомендуется предусматривать применение различных видов ограждений, которые различаются: по назначению (декоративные, защитные, их сочетание), высоте (низкие - 0,3-1,0 м, средние - 1,1-1,7 м, высокие - 1,8-3,0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pPr>
        <w:pStyle w:val="Normal"/>
        <w:ind w:firstLine="567"/>
        <w:jc w:val="both"/>
        <w:rPr/>
      </w:pPr>
      <w:r>
        <w:rPr>
          <w:rFonts w:eastAsia="Times New Roman" w:cs="Times New Roman" w:ascii="Times New Roman" w:hAnsi="Times New Roman"/>
        </w:rPr>
        <w:t>2. Проектирование ограждений рекомендуется производить в зависимости от их местоположения и назначения согласно ГОСТам, каталогам сертифицированных изделий, проектам индивидуального проектирования.</w:t>
      </w:r>
    </w:p>
    <w:p>
      <w:pPr>
        <w:pStyle w:val="Normal"/>
        <w:ind w:firstLine="567"/>
        <w:jc w:val="both"/>
        <w:rPr/>
      </w:pPr>
      <w:r>
        <w:rPr>
          <w:rFonts w:eastAsia="Times New Roman" w:cs="Times New Roman" w:ascii="Times New Roman" w:hAnsi="Times New Roman"/>
        </w:rPr>
        <w:t xml:space="preserve">Ограждения магистралей и транспортных сооружений рекомендуется проектировать согласно ГОСТ Р 52289, ГОСТ 26804, верхних бровок откосов и террас – согласно </w:t>
      </w:r>
      <w:r>
        <w:rPr>
          <w:rFonts w:cs="Times New Roman" w:ascii="Times New Roman" w:hAnsi="Times New Roman"/>
        </w:rPr>
        <w:t xml:space="preserve">части 7 статьи 36 </w:t>
      </w:r>
      <w:r>
        <w:rPr>
          <w:rFonts w:eastAsia="Times New Roman" w:cs="Times New Roman" w:ascii="Times New Roman" w:hAnsi="Times New Roman"/>
        </w:rPr>
        <w:t>настоящих Правил.</w:t>
      </w:r>
    </w:p>
    <w:p>
      <w:pPr>
        <w:pStyle w:val="Normal"/>
        <w:ind w:firstLine="567"/>
        <w:jc w:val="both"/>
        <w:rPr/>
      </w:pPr>
      <w:r>
        <w:rPr>
          <w:rFonts w:eastAsia="Times New Roman" w:cs="Times New Roman" w:ascii="Times New Roman" w:hAnsi="Times New Roman"/>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pPr>
        <w:pStyle w:val="Normal"/>
        <w:ind w:firstLine="567"/>
        <w:jc w:val="both"/>
        <w:rPr/>
      </w:pPr>
      <w:r>
        <w:rPr>
          <w:rFonts w:eastAsia="Times New Roman" w:cs="Times New Roman" w:ascii="Times New Roman" w:hAnsi="Times New Roman"/>
        </w:rPr>
        <w:t>На территориях ВТРК "Архыз" рекомендуется запретить проектирование глухих и железобетонных ограждений. Рекомендуется применение декоративных металлических ограждений.</w:t>
      </w:r>
    </w:p>
    <w:p>
      <w:pPr>
        <w:pStyle w:val="Normal"/>
        <w:ind w:firstLine="567"/>
        <w:jc w:val="both"/>
        <w:rPr/>
      </w:pPr>
      <w:r>
        <w:rPr>
          <w:rFonts w:eastAsia="Times New Roman" w:cs="Times New Roman" w:ascii="Times New Roman" w:hAnsi="Times New Roman"/>
        </w:rPr>
        <w:t>3. Рекомендуется предусматривать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Ограждения рекомендуется размещать на территории газона с отступом от границы примыкания порядка 0,2-0,3 м.</w:t>
      </w:r>
    </w:p>
    <w:p>
      <w:pPr>
        <w:pStyle w:val="Normal"/>
        <w:ind w:firstLine="567"/>
        <w:jc w:val="both"/>
        <w:rPr/>
      </w:pPr>
      <w:r>
        <w:rPr>
          <w:rFonts w:eastAsia="Times New Roman" w:cs="Times New Roman" w:ascii="Times New Roman" w:hAnsi="Times New Roman"/>
        </w:rPr>
        <w:t>4. 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pPr>
        <w:pStyle w:val="Normal"/>
        <w:ind w:firstLine="567"/>
        <w:jc w:val="both"/>
        <w:rPr/>
      </w:pPr>
      <w:r>
        <w:rPr>
          <w:rFonts w:eastAsia="Times New Roman" w:cs="Times New Roman" w:ascii="Times New Roman" w:hAnsi="Times New Roman"/>
        </w:rPr>
        <w:t>5.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85" w:name="_Toc424230681"/>
      <w:bookmarkEnd w:id="285"/>
      <w:r>
        <w:rPr>
          <w:rFonts w:eastAsia="Times New Roman" w:cs="Times New Roman"/>
        </w:rPr>
        <w:t>Статья 41. Малые архитектурные формы</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 xml:space="preserve">1. К малым архитектурным формам (далее - МАФ) относятся: элементы монументально-декоративного оформления, устройства для оформления мобильного и </w:t>
      </w:r>
      <w:r>
        <w:fldChar w:fldCharType="begin"/>
      </w:r>
      <w:r>
        <w:instrText> HYPERLINK "http://www.garant.ru/products/ipo/prime/doc/70018446/" \l "3"</w:instrText>
      </w:r>
      <w:r>
        <w:fldChar w:fldCharType="separate"/>
      </w:r>
      <w:r>
        <w:rPr>
          <w:rStyle w:val="Style5"/>
          <w:rFonts w:eastAsia="Times New Roman" w:cs="Times New Roman" w:ascii="Times New Roman" w:hAnsi="Times New Roman"/>
        </w:rPr>
        <w:t>вертикального озеленения</w:t>
      </w:r>
      <w:r>
        <w:fldChar w:fldCharType="end"/>
      </w:r>
      <w:r>
        <w:rPr>
          <w:rFonts w:eastAsia="Times New Roman" w:cs="Times New Roman" w:ascii="Times New Roman" w:hAnsi="Times New Roman"/>
        </w:rPr>
        <w:t>, водные устройства, городская мебель, коммунально-бытовое и техническое оборудование на территории ВТРК "Архыз". При проектировании и выборе малых архитектурных форм рекомендуется пользоваться каталогами сертифицированных изделий. Для ВТРК "Архыз" малые архитектурные формы рекомендуется проектировать на основании индивидуальных проектных разработок.</w:t>
      </w:r>
    </w:p>
    <w:p>
      <w:pPr>
        <w:pStyle w:val="Normal"/>
        <w:ind w:firstLine="567"/>
        <w:jc w:val="both"/>
        <w:rPr/>
      </w:pPr>
      <w:r>
        <w:rPr>
          <w:rFonts w:eastAsia="Times New Roman" w:cs="Times New Roman" w:ascii="Times New Roman" w:hAnsi="Times New Roman"/>
        </w:rPr>
        <w:t>2. Для оформления мобильного и вертикального озеленения рекомендуется применять следующие виды устройств: трельяжи, шпалеры, перголы, цветочницы, вазоны. Трельяж и шпалера - легкие деревянные или металлические конструкции в виде решетки для озеленения вьющимися или опирающимися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 Пергола - легкое решетчатое сооружение из дерева или металла в виде беседки, галереи или навеса, используется как "зеленый тоннель", переход между площадками или архитектурными объектами. Цветочницы, вазоны - небольшие емкости с растительным грунтом, в которые высаживаются цветочные растения.</w:t>
      </w:r>
    </w:p>
    <w:p>
      <w:pPr>
        <w:pStyle w:val="Normal"/>
        <w:ind w:firstLine="567"/>
        <w:jc w:val="both"/>
        <w:rPr/>
      </w:pPr>
      <w:r>
        <w:rPr>
          <w:rFonts w:eastAsia="Times New Roman" w:cs="Times New Roman" w:ascii="Times New Roman" w:hAnsi="Times New Roman"/>
        </w:rPr>
        <w:t>3. К водным устройствам относятся фонтаны, питьевые фонтанчики, бюветы, родники,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следует снабжать водосливными трубами, отводящими избыток воды в дренажную сеть и ливневую канализацию.</w:t>
      </w:r>
    </w:p>
    <w:p>
      <w:pPr>
        <w:pStyle w:val="Normal"/>
        <w:ind w:firstLine="567"/>
        <w:jc w:val="both"/>
        <w:rPr/>
      </w:pPr>
      <w:r>
        <w:rPr>
          <w:rFonts w:eastAsia="Times New Roman" w:cs="Times New Roman" w:ascii="Times New Roman" w:hAnsi="Times New Roman"/>
        </w:rPr>
        <w:t>Фонтаны рекомендуется проектировать на основании индивидуальных проектных разработок.</w:t>
      </w:r>
    </w:p>
    <w:p>
      <w:pPr>
        <w:pStyle w:val="Normal"/>
        <w:ind w:firstLine="567"/>
        <w:jc w:val="both"/>
        <w:rPr/>
      </w:pPr>
      <w:r>
        <w:rPr>
          <w:rFonts w:eastAsia="Times New Roman" w:cs="Times New Roman" w:ascii="Times New Roman" w:hAnsi="Times New Roman"/>
        </w:rPr>
        <w:t>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pPr>
        <w:pStyle w:val="Normal"/>
        <w:ind w:firstLine="567"/>
        <w:jc w:val="both"/>
        <w:rPr/>
      </w:pPr>
      <w:r>
        <w:rPr>
          <w:rFonts w:eastAsia="Times New Roman" w:cs="Times New Roman" w:ascii="Times New Roman" w:hAnsi="Times New Roman"/>
        </w:rPr>
        <w:t>Следует учитывать, что родники на территории ВТРК "Архыз" должны соответствовать качеству воды согласно требованиям СанПиНов и иметь положительное заключение органов санитарно-эпидемиологического надзора, на особо охраняемых территориях природного комплекса для обустройства родника, кроме вышеуказанного заключения, требуется разрешение уполномоченных органов природопользования и охраны окружающей среды. Родники рекомендуется оборудовать подходом и площадкой с твердым видом покрытия, приспособлением для подачи родниковой воды (желоб, труба, иной вид водотока), чашей водосбора, системой водоотведения.</w:t>
      </w:r>
    </w:p>
    <w:p>
      <w:pPr>
        <w:pStyle w:val="Normal"/>
        <w:ind w:firstLine="567"/>
        <w:jc w:val="both"/>
        <w:rPr/>
      </w:pPr>
      <w:r>
        <w:rPr>
          <w:rFonts w:eastAsia="Times New Roman" w:cs="Times New Roman" w:ascii="Times New Roman" w:hAnsi="Times New Roman"/>
        </w:rPr>
        <w:t>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рекомендуется делать гладким, удобным для очистки. Рекомендуется использование приемов цветового и светового оформления.</w:t>
      </w:r>
    </w:p>
    <w:p>
      <w:pPr>
        <w:pStyle w:val="Normal"/>
        <w:ind w:firstLine="567"/>
        <w:jc w:val="both"/>
        <w:rPr/>
      </w:pPr>
      <w:r>
        <w:rPr>
          <w:rFonts w:eastAsia="Times New Roman" w:cs="Times New Roman" w:ascii="Times New Roman" w:hAnsi="Times New Roman"/>
        </w:rPr>
        <w:t>4. К мебели ВТРК "Архыз" относятся: различные виды скамей отдыха, размещаемые на территории общественных пространств, рекреаций; скамей и столов - на площадках для настольных игр, кафе.</w:t>
      </w:r>
    </w:p>
    <w:p>
      <w:pPr>
        <w:pStyle w:val="Normal"/>
        <w:ind w:firstLine="567"/>
        <w:jc w:val="both"/>
        <w:rPr/>
      </w:pPr>
      <w:r>
        <w:rPr>
          <w:rFonts w:eastAsia="Times New Roman" w:cs="Times New Roman" w:ascii="Times New Roman" w:hAnsi="Times New Roman"/>
        </w:rPr>
        <w:t>Установку скамей рекомендуется предусматривать на твердые виды покрытия или фундамент. В зонах отдыха, лесопарках,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420-480 мм. Поверхности скамьи для отдыха рекомендуется выполнять из дерева, с различными видами водоустойчивой обработки (предпочтительно - пропиткой).</w:t>
      </w:r>
    </w:p>
    <w:p>
      <w:pPr>
        <w:pStyle w:val="Normal"/>
        <w:ind w:firstLine="567"/>
        <w:jc w:val="both"/>
        <w:rPr/>
      </w:pPr>
      <w:r>
        <w:rPr>
          <w:rFonts w:eastAsia="Times New Roman" w:cs="Times New Roman" w:ascii="Times New Roman" w:hAnsi="Times New Roman"/>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pPr>
        <w:pStyle w:val="Normal"/>
        <w:ind w:firstLine="567"/>
        <w:jc w:val="both"/>
        <w:rPr/>
      </w:pPr>
      <w:r>
        <w:rPr>
          <w:rFonts w:eastAsia="Times New Roman" w:cs="Times New Roman" w:ascii="Times New Roman" w:hAnsi="Times New Roman"/>
        </w:rPr>
        <w:t>Количество размещаемой мебели ВТРК "Архыз" рекомендуется устанавливать, в зависимости от функционального назначения территории и количества посетителей на этой территории.</w:t>
      </w:r>
    </w:p>
    <w:p>
      <w:pPr>
        <w:pStyle w:val="Normal"/>
        <w:ind w:firstLine="567"/>
        <w:jc w:val="both"/>
        <w:rPr/>
      </w:pPr>
      <w:r>
        <w:rPr>
          <w:rFonts w:eastAsia="Times New Roman" w:cs="Times New Roman" w:ascii="Times New Roman" w:hAnsi="Times New Roman"/>
        </w:rPr>
        <w:t>5. Уличное коммунально-бытовое оборудование обычно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экологичность, безопасность (отсутствие острых углов), удобство в пользовании, легкость очистки, привлекательный внешний вид.</w:t>
      </w:r>
    </w:p>
    <w:p>
      <w:pPr>
        <w:pStyle w:val="Normal"/>
        <w:ind w:firstLine="567"/>
        <w:jc w:val="both"/>
        <w:rPr/>
      </w:pPr>
      <w:r>
        <w:rPr>
          <w:rFonts w:eastAsia="Times New Roman" w:cs="Times New Roman" w:ascii="Times New Roman" w:hAnsi="Times New Roman"/>
        </w:rPr>
        <w:t>Для сбора бытового мусора на улицах, площадях, объектах рекреации рекомендуется применять малогабаритные (малые) контейнеры (менее 0,5 куб.м) и (или) урны, устанавливая их у входов: в объекты торговли и общественного питания, другие учреждения общественного назначения, гостиницы и сооружения транспорта.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других территорий муниципального образования -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pPr>
        <w:pStyle w:val="Normal"/>
        <w:ind w:firstLine="567"/>
        <w:jc w:val="both"/>
        <w:rPr/>
      </w:pPr>
      <w:r>
        <w:rPr>
          <w:rFonts w:eastAsia="Times New Roman" w:cs="Times New Roman" w:ascii="Times New Roman" w:hAnsi="Times New Roman"/>
        </w:rPr>
        <w:t>6. К уличному техническому оборудованию относятся: укрытия таксофонов, почтовые ящики, автоматы по продаже воды,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w:t>
      </w:r>
    </w:p>
    <w:p>
      <w:pPr>
        <w:pStyle w:val="Normal"/>
        <w:ind w:firstLine="567"/>
        <w:jc w:val="both"/>
        <w:rPr/>
      </w:pPr>
      <w:r>
        <w:rPr>
          <w:rFonts w:eastAsia="Times New Roman" w:cs="Times New Roman" w:ascii="Times New Roman" w:hAnsi="Times New Roman"/>
        </w:rPr>
        <w:t>Установка уличного технического оборудования должна обеспечивать удобный подход к оборудованию и соответствовать разделу 3 СНиП 35-01.</w:t>
      </w:r>
    </w:p>
    <w:p>
      <w:pPr>
        <w:pStyle w:val="Normal"/>
        <w:ind w:firstLine="567"/>
        <w:jc w:val="both"/>
        <w:rPr/>
      </w:pPr>
      <w:r>
        <w:rPr>
          <w:rFonts w:eastAsia="Times New Roman" w:cs="Times New Roman" w:ascii="Times New Roman" w:hAnsi="Times New Roman"/>
        </w:rPr>
        <w:t>При установке таксофонов на территориях общественного и рекреационного назначения рекомендуется предусматривать их электроосвещение. Места размещения таксофонов рекомендуется проектировать в максимальном приближении от мест присоединения закладных устройств канала (трубы) телефонной канализации и канала (трубы) для электроосвещения. Кроме этого, рекомендуется не менее одного из таксофонов (или одного в каждом ряду) устанавливать на такой высоте, чтобы уровень щели монетоприемника от покрытия составлял 1,3 м; уровень приемного отверстия почтового ящика рекомендуется располагать от уровня покрытия на высоте 1,3 м.</w:t>
      </w:r>
    </w:p>
    <w:p>
      <w:pPr>
        <w:pStyle w:val="Normal"/>
        <w:ind w:firstLine="567"/>
        <w:jc w:val="both"/>
        <w:rPr/>
      </w:pPr>
      <w:r>
        <w:rPr>
          <w:rFonts w:eastAsia="Times New Roman" w:cs="Times New Roman" w:ascii="Times New Roman" w:hAnsi="Times New Roman"/>
        </w:rPr>
        <w:t>7. 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pPr>
        <w:pStyle w:val="Normal"/>
        <w:ind w:firstLine="567"/>
        <w:jc w:val="both"/>
        <w:rPr/>
      </w:pPr>
      <w:r>
        <w:rPr>
          <w:rFonts w:eastAsia="Times New Roman" w:cs="Times New Roman" w:ascii="Times New Roman" w:hAnsi="Times New Roman"/>
        </w:rPr>
        <w:t>- крышки люков смотровых колодцев, расположенных на территории пешеходных коммуникаций (в том числе уличных переходов), следует проектировать, как правило, 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pPr>
        <w:pStyle w:val="Normal"/>
        <w:ind w:firstLine="567"/>
        <w:jc w:val="both"/>
        <w:rPr/>
      </w:pPr>
      <w:r>
        <w:rPr>
          <w:rFonts w:eastAsia="Times New Roman" w:cs="Times New Roman" w:ascii="Times New Roman" w:hAnsi="Times New Roman"/>
        </w:rPr>
        <w:t>- вентиляционные шахты оборудовать решетками.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86" w:name="_Toc424230682"/>
      <w:bookmarkEnd w:id="286"/>
      <w:r>
        <w:rPr>
          <w:rFonts w:eastAsia="Times New Roman" w:cs="Times New Roman"/>
        </w:rPr>
        <w:t>Статья 42. Игровое и спортивное оборудование</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Игровое и спортивное оборудование на территории ВТРК "Архыз"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рекомендуется обеспечивать соответствие оборудования анатомо-физиологическим особенностям разных возрастных групп (</w:t>
      </w:r>
      <w:r>
        <w:fldChar w:fldCharType="begin"/>
      </w:r>
      <w:r>
        <w:instrText> HYPERLINK "http://www.garant.ru/products/ipo/prime/doc/70018446/" \l "21013"</w:instrText>
      </w:r>
      <w:r>
        <w:fldChar w:fldCharType="separate"/>
      </w:r>
      <w:r>
        <w:rPr>
          <w:rStyle w:val="Style5"/>
          <w:rFonts w:eastAsia="Times New Roman" w:cs="Times New Roman" w:ascii="Times New Roman" w:hAnsi="Times New Roman"/>
        </w:rPr>
        <w:t>таблица 13</w:t>
      </w:r>
      <w:r>
        <w:fldChar w:fldCharType="end"/>
      </w:r>
      <w:r>
        <w:rPr>
          <w:rFonts w:eastAsia="Times New Roman" w:cs="Times New Roman" w:ascii="Times New Roman" w:hAnsi="Times New Roman"/>
        </w:rPr>
        <w:t xml:space="preserve"> Приложения № 2).</w:t>
      </w:r>
    </w:p>
    <w:p>
      <w:pPr>
        <w:pStyle w:val="Normal"/>
        <w:ind w:firstLine="567"/>
        <w:jc w:val="both"/>
        <w:rPr/>
      </w:pPr>
      <w:r>
        <w:rPr>
          <w:rFonts w:eastAsia="Times New Roman" w:cs="Times New Roman" w:ascii="Times New Roman" w:hAnsi="Times New Roman"/>
        </w:rPr>
        <w:t>2. Следует учитывать, что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pPr>
        <w:pStyle w:val="Normal"/>
        <w:ind w:firstLine="567"/>
        <w:jc w:val="both"/>
        <w:rPr/>
      </w:pPr>
      <w:r>
        <w:rPr>
          <w:rFonts w:eastAsia="Times New Roman" w:cs="Times New Roman" w:ascii="Times New Roman" w:hAnsi="Times New Roman"/>
        </w:rPr>
        <w:t>3. Рекомендуется предусматривать следующие требования к материалу игрового оборудования и условиям его обработки:</w:t>
      </w:r>
    </w:p>
    <w:p>
      <w:pPr>
        <w:pStyle w:val="Normal"/>
        <w:ind w:firstLine="567"/>
        <w:jc w:val="both"/>
        <w:rPr/>
      </w:pPr>
      <w:r>
        <w:rPr>
          <w:rFonts w:eastAsia="Times New Roman" w:cs="Times New Roman" w:ascii="Times New Roman" w:hAnsi="Times New Roman"/>
        </w:rPr>
        <w:t>- 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pPr>
        <w:pStyle w:val="Normal"/>
        <w:ind w:firstLine="567"/>
        <w:jc w:val="both"/>
        <w:rPr/>
      </w:pPr>
      <w:r>
        <w:rPr>
          <w:rFonts w:eastAsia="Times New Roman" w:cs="Times New Roman" w:ascii="Times New Roman" w:hAnsi="Times New Roman"/>
        </w:rPr>
        <w:t>-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металлопластик (не травмирует, не ржавеет, морозоустойчив);</w:t>
      </w:r>
    </w:p>
    <w:p>
      <w:pPr>
        <w:pStyle w:val="Normal"/>
        <w:ind w:firstLine="567"/>
        <w:jc w:val="both"/>
        <w:rPr/>
      </w:pPr>
      <w:r>
        <w:rPr>
          <w:rFonts w:eastAsia="Times New Roman" w:cs="Times New Roman" w:ascii="Times New Roman" w:hAnsi="Times New Roman"/>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pPr>
        <w:pStyle w:val="Normal"/>
        <w:ind w:firstLine="567"/>
        <w:jc w:val="both"/>
        <w:rPr/>
      </w:pPr>
      <w:r>
        <w:rPr>
          <w:rFonts w:eastAsia="Times New Roman" w:cs="Times New Roman" w:ascii="Times New Roman" w:hAnsi="Times New Roman"/>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pPr>
        <w:pStyle w:val="Normal"/>
        <w:ind w:firstLine="567"/>
        <w:jc w:val="both"/>
        <w:rPr/>
      </w:pPr>
      <w:r>
        <w:rPr>
          <w:rFonts w:eastAsia="Times New Roman" w:cs="Times New Roman" w:ascii="Times New Roman" w:hAnsi="Times New Roman"/>
        </w:rPr>
        <w:t>4. В требованиях к конструкциям игрового оборудования рекомендуется исключать острые углы, застревание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pPr>
        <w:pStyle w:val="Normal"/>
        <w:ind w:firstLine="567"/>
        <w:jc w:val="both"/>
        <w:rPr/>
      </w:pPr>
      <w:r>
        <w:rPr>
          <w:rFonts w:eastAsia="Times New Roman" w:cs="Times New Roman" w:ascii="Times New Roman" w:hAnsi="Times New Roman"/>
        </w:rPr>
        <w:t xml:space="preserve">5. При размещении игрового оборудования на детских игровых площадках рекомендуется соблюдать минимальные расстояния безопасности в соответствии с </w:t>
      </w:r>
      <w:r>
        <w:fldChar w:fldCharType="begin"/>
      </w:r>
      <w:r>
        <w:instrText> HYPERLINK "http://www.garant.ru/products/ipo/prime/doc/70018446/" \l "21015"</w:instrText>
      </w:r>
      <w:r>
        <w:fldChar w:fldCharType="separate"/>
      </w:r>
      <w:r>
        <w:rPr>
          <w:rStyle w:val="Style5"/>
          <w:rFonts w:eastAsia="Times New Roman" w:cs="Times New Roman" w:ascii="Times New Roman" w:hAnsi="Times New Roman"/>
        </w:rPr>
        <w:t>таблицей 15</w:t>
      </w:r>
      <w:r>
        <w:fldChar w:fldCharType="end"/>
      </w:r>
      <w:r>
        <w:rPr>
          <w:rFonts w:eastAsia="Times New Roman" w:cs="Times New Roman" w:ascii="Times New Roman" w:hAnsi="Times New Roman"/>
        </w:rPr>
        <w:t xml:space="preserve"> Приложения № 2. В пределах указанных расстояний на участках территории площадки не допускается размещения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w:t>
      </w:r>
      <w:r>
        <w:fldChar w:fldCharType="begin"/>
      </w:r>
      <w:r>
        <w:instrText> HYPERLINK "http://www.garant.ru/products/ipo/prime/doc/70018446/" \l "21014"</w:instrText>
      </w:r>
      <w:r>
        <w:fldChar w:fldCharType="separate"/>
      </w:r>
      <w:r>
        <w:rPr>
          <w:rStyle w:val="Style5"/>
          <w:rFonts w:eastAsia="Times New Roman" w:cs="Times New Roman" w:ascii="Times New Roman" w:hAnsi="Times New Roman"/>
        </w:rPr>
        <w:t>таблице 14</w:t>
      </w:r>
      <w:r>
        <w:fldChar w:fldCharType="end"/>
      </w:r>
      <w:r>
        <w:rPr>
          <w:rFonts w:eastAsia="Times New Roman" w:cs="Times New Roman" w:ascii="Times New Roman" w:hAnsi="Times New Roman"/>
        </w:rPr>
        <w:t xml:space="preserve"> Приложения № 2.</w:t>
      </w:r>
    </w:p>
    <w:p>
      <w:pPr>
        <w:pStyle w:val="Normal"/>
        <w:ind w:firstLine="567"/>
        <w:jc w:val="both"/>
        <w:rPr/>
      </w:pPr>
      <w:r>
        <w:rPr>
          <w:rFonts w:eastAsia="Times New Roman" w:cs="Times New Roman" w:ascii="Times New Roman" w:hAnsi="Times New Roman"/>
        </w:rPr>
        <w:t>6. 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При размещении следует руководствоваться каталогами сертифицированного оборудования.</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87" w:name="_Toc424230683"/>
      <w:bookmarkEnd w:id="287"/>
      <w:r>
        <w:rPr>
          <w:rFonts w:eastAsia="Times New Roman" w:cs="Times New Roman"/>
        </w:rPr>
        <w:t>Статья 43. Освещение и осветительное оборудование</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В различных градостроительных условиях рекомендуется предусматривать функциональное, архитектурное и информационное освещение с целью решения утилитарных, светопланировочных и светокомпозиционных задач, в том числе при необходимости светоцветового зонирования территорий ВТРК "Архыз" и формирования системы светопространственных ансамблей.</w:t>
      </w:r>
    </w:p>
    <w:p>
      <w:pPr>
        <w:pStyle w:val="Normal"/>
        <w:ind w:firstLine="567"/>
        <w:jc w:val="both"/>
        <w:rPr/>
      </w:pPr>
      <w:r>
        <w:rPr>
          <w:rFonts w:eastAsia="Times New Roman" w:cs="Times New Roman" w:ascii="Times New Roman" w:hAnsi="Times New Roman"/>
        </w:rPr>
        <w:t>2. При проектировании каждой из трех основных групп осветительных установок (функционального, архитектурного освещения, световой информации) рекомендуется обеспечивать:</w:t>
      </w:r>
    </w:p>
    <w:p>
      <w:pPr>
        <w:pStyle w:val="Normal"/>
        <w:ind w:firstLine="567"/>
        <w:jc w:val="both"/>
        <w:rPr/>
      </w:pPr>
      <w:r>
        <w:rPr>
          <w:rFonts w:eastAsia="Times New Roman" w:cs="Times New Roman" w:ascii="Times New Roman" w:hAnsi="Times New Roman"/>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pPr>
        <w:pStyle w:val="Normal"/>
        <w:ind w:firstLine="567"/>
        <w:jc w:val="both"/>
        <w:rPr/>
      </w:pPr>
      <w:r>
        <w:rPr>
          <w:rFonts w:eastAsia="Times New Roman" w:cs="Times New Roman" w:ascii="Times New Roman" w:hAnsi="Times New Roman"/>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pPr>
        <w:pStyle w:val="Normal"/>
        <w:ind w:firstLine="567"/>
        <w:jc w:val="both"/>
        <w:rPr/>
      </w:pPr>
      <w:r>
        <w:rPr>
          <w:rFonts w:eastAsia="Times New Roman" w:cs="Times New Roman" w:ascii="Times New Roman" w:hAnsi="Times New Roman"/>
        </w:rPr>
        <w:t>- экономичность и энергоэффективность применяемых установок, рациональное распределение и использование электроэнергии;</w:t>
      </w:r>
    </w:p>
    <w:p>
      <w:pPr>
        <w:pStyle w:val="Normal"/>
        <w:ind w:firstLine="567"/>
        <w:jc w:val="both"/>
        <w:rPr/>
      </w:pPr>
      <w:r>
        <w:rPr>
          <w:rFonts w:eastAsia="Times New Roman" w:cs="Times New Roman" w:ascii="Times New Roman" w:hAnsi="Times New Roman"/>
        </w:rPr>
        <w:t>- эстетика элементов осветительных установок, их дизайн, качество материалов и изделий с учетом восприятия в дневное и ночное время;</w:t>
      </w:r>
    </w:p>
    <w:p>
      <w:pPr>
        <w:pStyle w:val="Normal"/>
        <w:ind w:firstLine="567"/>
        <w:jc w:val="both"/>
        <w:rPr/>
      </w:pPr>
      <w:r>
        <w:rPr>
          <w:rFonts w:eastAsia="Times New Roman" w:cs="Times New Roman" w:ascii="Times New Roman" w:hAnsi="Times New Roman"/>
        </w:rPr>
        <w:t>- удобство обслуживания и управления при разных режимах работы установок.</w:t>
      </w:r>
    </w:p>
    <w:p>
      <w:pPr>
        <w:pStyle w:val="Normal"/>
        <w:ind w:firstLine="567"/>
        <w:jc w:val="both"/>
        <w:rPr/>
      </w:pPr>
      <w:r>
        <w:rPr>
          <w:rFonts w:eastAsia="Times New Roman" w:cs="Times New Roman" w:ascii="Times New Roman" w:hAnsi="Times New Roman"/>
        </w:rPr>
        <w:t>3. Функциональное освещение (далее -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высокомачтовые, парапетные, газонные и встроенные.</w:t>
      </w:r>
    </w:p>
    <w:p>
      <w:pPr>
        <w:pStyle w:val="Normal"/>
        <w:ind w:firstLine="567"/>
        <w:jc w:val="both"/>
        <w:rPr/>
      </w:pPr>
      <w:r>
        <w:rPr>
          <w:rFonts w:eastAsia="Times New Roman" w:cs="Times New Roman" w:ascii="Times New Roman" w:hAnsi="Times New Roman"/>
        </w:rPr>
        <w:t>В обычных установках светильники рекомендуется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pPr>
        <w:pStyle w:val="Normal"/>
        <w:ind w:firstLine="567"/>
        <w:jc w:val="both"/>
        <w:rPr/>
      </w:pPr>
      <w:r>
        <w:rPr>
          <w:rFonts w:eastAsia="Times New Roman" w:cs="Times New Roman" w:ascii="Times New Roman" w:hAnsi="Times New Roman"/>
        </w:rPr>
        <w:t>В высокомачтовых установках осветительные приборы (прожекторы или светильники) рекомендуется располагать на опорах на высоте 20 и более метров. Эти установки рекомендуется использовать для освещения обширных пространств, горнолыжных трасс, транспортных развязок и магистралей, открытых паркингов.</w:t>
      </w:r>
    </w:p>
    <w:p>
      <w:pPr>
        <w:pStyle w:val="Normal"/>
        <w:ind w:firstLine="567"/>
        <w:jc w:val="both"/>
        <w:rPr/>
      </w:pPr>
      <w:r>
        <w:rPr>
          <w:rFonts w:eastAsia="Times New Roman" w:cs="Times New Roman" w:ascii="Times New Roman" w:hAnsi="Times New Roman"/>
        </w:rPr>
        <w:t>В парапетных установках светильники рекомендуется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pPr>
        <w:pStyle w:val="Normal"/>
        <w:ind w:firstLine="567"/>
        <w:jc w:val="both"/>
        <w:rPr/>
      </w:pPr>
      <w:r>
        <w:rPr>
          <w:rFonts w:eastAsia="Times New Roman" w:cs="Times New Roman" w:ascii="Times New Roman" w:hAnsi="Times New Roman"/>
        </w:rPr>
        <w:t>Газонные светильники обычно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pPr>
        <w:pStyle w:val="Normal"/>
        <w:ind w:firstLine="567"/>
        <w:jc w:val="both"/>
        <w:rPr/>
      </w:pPr>
      <w:r>
        <w:rPr>
          <w:rFonts w:eastAsia="Times New Roman" w:cs="Times New Roman" w:ascii="Times New Roman" w:hAnsi="Times New Roman"/>
        </w:rPr>
        <w:t>Светильники, встроенные в ступени, подпорные стенки, ограждения, цоколи зданий и сооружений, МАФ, рекомендуется использовать для освещения пешеходных зон территорий общественного назначения.</w:t>
      </w:r>
    </w:p>
    <w:p>
      <w:pPr>
        <w:pStyle w:val="Normal"/>
        <w:ind w:firstLine="567"/>
        <w:jc w:val="both"/>
        <w:rPr/>
      </w:pPr>
      <w:r>
        <w:rPr>
          <w:rFonts w:eastAsia="Times New Roman" w:cs="Times New Roman" w:ascii="Times New Roman" w:hAnsi="Times New Roman"/>
        </w:rPr>
        <w:t>4. Архитектурное освещение (далее - АО) рекомендуется применять для формирования художественно выразительной визуальной среды в вечернем городе,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pPr>
        <w:pStyle w:val="Normal"/>
        <w:ind w:firstLine="567"/>
        <w:jc w:val="both"/>
        <w:rPr/>
      </w:pPr>
      <w:r>
        <w:rPr>
          <w:rFonts w:eastAsia="Times New Roman" w:cs="Times New Roman" w:ascii="Times New Roman" w:hAnsi="Times New Roman"/>
        </w:rPr>
        <w:t>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w:t>
      </w:r>
    </w:p>
    <w:p>
      <w:pPr>
        <w:pStyle w:val="Normal"/>
        <w:ind w:firstLine="567"/>
        <w:jc w:val="both"/>
        <w:rPr/>
      </w:pPr>
      <w:r>
        <w:rPr>
          <w:rFonts w:eastAsia="Times New Roman" w:cs="Times New Roman" w:ascii="Times New Roman" w:hAnsi="Times New Roman"/>
        </w:rPr>
        <w:t>5.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pPr>
        <w:pStyle w:val="Normal"/>
        <w:ind w:firstLine="567"/>
        <w:jc w:val="both"/>
        <w:rPr/>
      </w:pPr>
      <w:r>
        <w:rPr>
          <w:rFonts w:eastAsia="Times New Roman" w:cs="Times New Roman" w:ascii="Times New Roman" w:hAnsi="Times New Roman"/>
        </w:rPr>
        <w:t>6. Световая информация (далее - СИ), в том числе, световая реклама, как правило, должна помогать ориентации пешеходов и водителей автотранспорта и участвовать в решении светокомпозиционных задач. Рекомендуется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населения.</w:t>
      </w:r>
    </w:p>
    <w:p>
      <w:pPr>
        <w:pStyle w:val="Normal"/>
        <w:ind w:firstLine="567"/>
        <w:jc w:val="both"/>
        <w:rPr/>
      </w:pPr>
      <w:r>
        <w:rPr>
          <w:rFonts w:eastAsia="Times New Roman" w:cs="Times New Roman" w:ascii="Times New Roman" w:hAnsi="Times New Roman"/>
        </w:rPr>
        <w:t>7. В стационарных установках ФО и АО рекомендуется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pPr>
        <w:pStyle w:val="Normal"/>
        <w:ind w:firstLine="567"/>
        <w:jc w:val="both"/>
        <w:rPr/>
      </w:pPr>
      <w:r>
        <w:rPr>
          <w:rFonts w:eastAsia="Times New Roman" w:cs="Times New Roman" w:ascii="Times New Roman" w:hAnsi="Times New Roman"/>
        </w:rPr>
        <w:t>8. Источники света в установках ФО рекомендуется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pPr>
        <w:pStyle w:val="Normal"/>
        <w:ind w:firstLine="567"/>
        <w:jc w:val="both"/>
        <w:rPr/>
      </w:pPr>
      <w:r>
        <w:rPr>
          <w:rFonts w:eastAsia="Times New Roman" w:cs="Times New Roman" w:ascii="Times New Roman" w:hAnsi="Times New Roman"/>
        </w:rPr>
        <w:t>9. В установках АО и СИ рекомендуется к использованию источники белого или цветного света с учетом формируемых условия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ВТРК "Архыз" или световом ансамбле.</w:t>
      </w:r>
    </w:p>
    <w:p>
      <w:pPr>
        <w:pStyle w:val="Normal"/>
        <w:ind w:firstLine="567"/>
        <w:jc w:val="both"/>
        <w:rPr/>
      </w:pPr>
      <w:r>
        <w:rPr>
          <w:rFonts w:eastAsia="Times New Roman" w:cs="Times New Roman" w:ascii="Times New Roman" w:hAnsi="Times New Roman"/>
        </w:rPr>
        <w:t>10. В установках ФО транспортных и </w:t>
      </w:r>
      <w:r>
        <w:fldChar w:fldCharType="begin"/>
      </w:r>
      <w:r>
        <w:instrText> HYPERLINK "http://www.garant.ru/products/ipo/prime/doc/70018446/" \l "7"</w:instrText>
      </w:r>
      <w:r>
        <w:fldChar w:fldCharType="separate"/>
      </w:r>
      <w:r>
        <w:rPr>
          <w:rStyle w:val="Style5"/>
          <w:rFonts w:eastAsia="Times New Roman" w:cs="Times New Roman" w:ascii="Times New Roman" w:hAnsi="Times New Roman"/>
        </w:rPr>
        <w:t>пешеходных зон</w:t>
      </w:r>
      <w:r>
        <w:fldChar w:fldCharType="end"/>
      </w:r>
      <w:r>
        <w:rPr>
          <w:rFonts w:eastAsia="Times New Roman" w:cs="Times New Roman" w:ascii="Times New Roman" w:hAnsi="Times New Roman"/>
        </w:rPr>
        <w:t> рекомендуется применять осветительные приборы направленного в нижнюю полусферу прямого, рассеянного или отраженного света. Применение светильников с неограниченным светораспределением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pPr>
        <w:pStyle w:val="Normal"/>
        <w:ind w:firstLine="567"/>
        <w:jc w:val="both"/>
        <w:rPr/>
      </w:pPr>
      <w:r>
        <w:rPr>
          <w:rFonts w:eastAsia="Times New Roman" w:cs="Times New Roman" w:ascii="Times New Roman" w:hAnsi="Times New Roman"/>
        </w:rPr>
        <w:t>11. Для освещения проезжей части улиц и сопутствующих им тротуаров рекомендуется в зонах интенсивного пешеходного движения применять двухконсольные опоры со светильниками на разной высоте, снабженными разноспектральными источниками света.</w:t>
      </w:r>
    </w:p>
    <w:p>
      <w:pPr>
        <w:pStyle w:val="Normal"/>
        <w:ind w:firstLine="567"/>
        <w:jc w:val="both"/>
        <w:rPr/>
      </w:pPr>
      <w:r>
        <w:rPr>
          <w:rFonts w:eastAsia="Times New Roman" w:cs="Times New Roman" w:ascii="Times New Roman" w:hAnsi="Times New Roman"/>
        </w:rPr>
        <w:t>12. Выбор типа, расположения и способа установки светильников ФО транспортных и пешеходных зон рекомендуется осуществлять с учетом формируемого масштаба светопространств. 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pPr>
        <w:pStyle w:val="Normal"/>
        <w:ind w:firstLine="567"/>
        <w:jc w:val="both"/>
        <w:rPr/>
      </w:pPr>
      <w:r>
        <w:rPr>
          <w:rFonts w:eastAsia="Times New Roman" w:cs="Times New Roman" w:ascii="Times New Roman" w:hAnsi="Times New Roman"/>
        </w:rPr>
        <w:t>13. Опоры уличных светильников для освещения проезжей части магистральных улиц (общегородских и районных)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pPr>
        <w:pStyle w:val="Normal"/>
        <w:ind w:firstLine="567"/>
        <w:jc w:val="both"/>
        <w:rPr/>
      </w:pPr>
      <w:r>
        <w:rPr>
          <w:rFonts w:eastAsia="Times New Roman" w:cs="Times New Roman" w:ascii="Times New Roman" w:hAnsi="Times New Roman"/>
        </w:rPr>
        <w:t>14. 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pPr>
        <w:pStyle w:val="Normal"/>
        <w:ind w:firstLine="567"/>
        <w:jc w:val="both"/>
        <w:rPr/>
      </w:pPr>
      <w:r>
        <w:rPr>
          <w:rFonts w:eastAsia="Times New Roman" w:cs="Times New Roman" w:ascii="Times New Roman" w:hAnsi="Times New Roman"/>
        </w:rPr>
        <w:t>15.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ВТРК "Архыз" в темное время суток рекомендуется предусматривать следующие режимы их работы:</w:t>
      </w:r>
    </w:p>
    <w:p>
      <w:pPr>
        <w:pStyle w:val="Normal"/>
        <w:ind w:firstLine="567"/>
        <w:jc w:val="both"/>
        <w:rPr/>
      </w:pPr>
      <w:r>
        <w:rPr>
          <w:rFonts w:eastAsia="Times New Roman" w:cs="Times New Roman" w:ascii="Times New Roman" w:hAnsi="Times New Roman"/>
        </w:rPr>
        <w:t>- вечерний будничный режим, когда функционируют все стационарные установки ФО, АО и СИ, за исключением систем праздничного освещения;</w:t>
      </w:r>
    </w:p>
    <w:p>
      <w:pPr>
        <w:pStyle w:val="Normal"/>
        <w:ind w:firstLine="567"/>
        <w:jc w:val="both"/>
        <w:rPr/>
      </w:pPr>
      <w:r>
        <w:rPr>
          <w:rFonts w:eastAsia="Times New Roman" w:cs="Times New Roman" w:ascii="Times New Roman" w:hAnsi="Times New Roman"/>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 ВТРК "Архыз";</w:t>
      </w:r>
    </w:p>
    <w:p>
      <w:pPr>
        <w:pStyle w:val="Normal"/>
        <w:ind w:firstLine="567"/>
        <w:jc w:val="both"/>
        <w:rPr/>
      </w:pPr>
      <w:r>
        <w:rPr>
          <w:rFonts w:eastAsia="Times New Roman" w:cs="Times New Roman" w:ascii="Times New Roman" w:hAnsi="Times New Roman"/>
        </w:rPr>
        <w:t>-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ВТРК "Архыз";</w:t>
      </w:r>
    </w:p>
    <w:p>
      <w:pPr>
        <w:pStyle w:val="Normal"/>
        <w:ind w:firstLine="567"/>
        <w:jc w:val="both"/>
        <w:rPr/>
      </w:pPr>
      <w:r>
        <w:rPr>
          <w:rFonts w:eastAsia="Times New Roman" w:cs="Times New Roman" w:ascii="Times New Roman" w:hAnsi="Times New Roman"/>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pPr>
        <w:pStyle w:val="Normal"/>
        <w:ind w:firstLine="567"/>
        <w:jc w:val="both"/>
        <w:rPr/>
      </w:pPr>
      <w:r>
        <w:rPr>
          <w:rFonts w:eastAsia="Times New Roman" w:cs="Times New Roman" w:ascii="Times New Roman" w:hAnsi="Times New Roman"/>
        </w:rPr>
        <w:t>16. 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лк. Отключение рекомендуется производить:</w:t>
      </w:r>
    </w:p>
    <w:p>
      <w:pPr>
        <w:pStyle w:val="Normal"/>
        <w:ind w:firstLine="567"/>
        <w:jc w:val="both"/>
        <w:rPr/>
      </w:pPr>
      <w:r>
        <w:rPr>
          <w:rFonts w:eastAsia="Times New Roman" w:cs="Times New Roman" w:ascii="Times New Roman" w:hAnsi="Times New Roman"/>
        </w:rPr>
        <w:t>- установок ФО - утром при повышении освещенности до 10 лк; время возможного отключения части уличных светильников при переходе с вечернего на ночной режим устанавливается администрацией ВТРК "Архыз",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pPr>
        <w:pStyle w:val="Normal"/>
        <w:ind w:firstLine="567"/>
        <w:jc w:val="both"/>
        <w:rPr/>
      </w:pPr>
      <w:r>
        <w:rPr>
          <w:rFonts w:eastAsia="Times New Roman" w:cs="Times New Roman" w:ascii="Times New Roman" w:hAnsi="Times New Roman"/>
        </w:rPr>
        <w:t>- установок АО - в соответствии с решением администрации ВТРК "Архыз",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(градостроительные доминанты, въезды и т.п.) установки АО могут функционировать от заката до рассвета;</w:t>
      </w:r>
    </w:p>
    <w:p>
      <w:pPr>
        <w:pStyle w:val="Normal"/>
        <w:ind w:firstLine="567"/>
        <w:jc w:val="both"/>
        <w:rPr/>
      </w:pPr>
      <w:r>
        <w:rPr>
          <w:rFonts w:eastAsia="Times New Roman" w:cs="Times New Roman" w:ascii="Times New Roman" w:hAnsi="Times New Roman"/>
        </w:rPr>
        <w:t>- установок СИ - по решению соответствующих ведомств или владельцев.</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88" w:name="_Toc424230684"/>
      <w:bookmarkEnd w:id="288"/>
      <w:r>
        <w:rPr>
          <w:rFonts w:eastAsia="Times New Roman" w:cs="Times New Roman"/>
        </w:rPr>
        <w:t>Статья 44. Средства наружной рекламы и информации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Размещение средств наружной рекламы и информации на территории ВТРК "Архыз" рекомендуется производить согласно ГОСТ Р 52044.</w:t>
      </w:r>
    </w:p>
    <w:p>
      <w:pPr>
        <w:pStyle w:val="Normal"/>
        <w:spacing w:before="0" w:after="238"/>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89" w:name="_Toc424230685"/>
      <w:bookmarkEnd w:id="289"/>
      <w:r>
        <w:rPr>
          <w:rFonts w:eastAsia="Times New Roman" w:cs="Times New Roman"/>
        </w:rPr>
        <w:t>Статья 45. Некапитальные нестационарные сооружения</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1. 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другие объекты некапитального характера. Следует иметь ввиду, что отделочные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ВТРК "Архыз" и условиям долговременной эксплуатации. При остеклении витрин рекомендуется 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мини-рынков, торговых рядов рекомендуется применение быстровозводимых модульных комплексов, выполняемых из легких конструкций.</w:t>
      </w:r>
    </w:p>
    <w:p>
      <w:pPr>
        <w:pStyle w:val="Normal"/>
        <w:ind w:firstLine="567"/>
        <w:jc w:val="both"/>
        <w:rPr/>
      </w:pPr>
      <w:r>
        <w:rPr>
          <w:rFonts w:eastAsia="Times New Roman" w:cs="Times New Roman" w:ascii="Times New Roman" w:hAnsi="Times New Roman"/>
        </w:rPr>
        <w:t>2. Размещение некапитальных нестационарных сооружений на территориях ВТРК "Архыз", как правило,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ВТРК "Архыз"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рекомендуется согласовывать с уполномоченными органами охраны памятников, природопользования и охраны окружающей среды.</w:t>
      </w:r>
    </w:p>
    <w:p>
      <w:pPr>
        <w:pStyle w:val="Normal"/>
        <w:ind w:firstLine="567"/>
        <w:jc w:val="both"/>
        <w:rPr/>
      </w:pPr>
      <w:r>
        <w:rPr>
          <w:rFonts w:eastAsia="Times New Roman" w:cs="Times New Roman" w:ascii="Times New Roman" w:hAnsi="Times New Roman"/>
        </w:rPr>
        <w:t>Следует учитывать, что не допускается размещение некапитальных нестационарных сооружений в арках зданий, на газонах, площадках (детских, отдыха, спортивных, транспортных стоянок), посадочных площадках городского пассажирского транспорта, в охранной зоне водопроводных и канализационных сетей, трубопроводов, а также ближе 10 м от остановочных павильонов, 25 м - от вентиляционных шахт, 20 м - от окон жилых помещений, перед витринами торговых предприятий, 3 м - от ствола дерева.</w:t>
      </w:r>
    </w:p>
    <w:p>
      <w:pPr>
        <w:pStyle w:val="Normal"/>
        <w:ind w:firstLine="567"/>
        <w:jc w:val="both"/>
        <w:rPr/>
      </w:pPr>
      <w:r>
        <w:rPr>
          <w:rFonts w:eastAsia="Times New Roman" w:cs="Times New Roman" w:ascii="Times New Roman" w:hAnsi="Times New Roman"/>
        </w:rPr>
        <w:t>Возможно размещение сооружений на тротуарах шириной более 4,5 м (улицы общегородского значения) и более 3 м (улицы районного и местного значения) при условии, что фактическая интенсивность движения пешеходов в час "пик" в двух направлениях не превышает 700 пешеходов в час на одну полосу движения, равную 0,75 м.</w:t>
      </w:r>
    </w:p>
    <w:p>
      <w:pPr>
        <w:pStyle w:val="Normal"/>
        <w:ind w:firstLine="567"/>
        <w:jc w:val="both"/>
        <w:rPr/>
      </w:pPr>
      <w:r>
        <w:rPr>
          <w:rFonts w:eastAsia="Times New Roman" w:cs="Times New Roman" w:ascii="Times New Roman" w:hAnsi="Times New Roman"/>
        </w:rPr>
        <w:t>3. Сооружения предприятий мелкорозничной торговли, бытового обслуживания и питания рекомендуется размещать на территориях пешеходных зон, в парках, садах, на бульварах.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pPr>
        <w:pStyle w:val="Normal"/>
        <w:ind w:firstLine="567"/>
        <w:jc w:val="both"/>
        <w:rPr/>
      </w:pPr>
      <w:r>
        <w:rPr>
          <w:rFonts w:eastAsia="Times New Roman" w:cs="Times New Roman" w:ascii="Times New Roman" w:hAnsi="Times New Roman"/>
        </w:rPr>
        <w:t>4. 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2,0x5,0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рекомендуется руководствоваться соответствующими ГОСТ и СНиП.</w:t>
      </w:r>
    </w:p>
    <w:p>
      <w:pPr>
        <w:pStyle w:val="Normal"/>
        <w:ind w:firstLine="567"/>
        <w:jc w:val="both"/>
        <w:rPr/>
      </w:pPr>
      <w:r>
        <w:rPr>
          <w:rFonts w:eastAsia="Times New Roman" w:cs="Times New Roman" w:ascii="Times New Roman" w:hAnsi="Times New Roman"/>
        </w:rPr>
        <w:t>5. Размещение туалетных кабин рекомендуется предусматривать на активно посещаемых территориях ВТРК "Архыз"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в местах установки АЗС, на автостоянках, а также - при некапитальных нестационарных сооружениях питания. Следует учитывать, что не допускается размещение туалетных кабин на придомовой территории, при этом расстояние до общественных зданий должно быть не менее 20 м. Туалетную кабину необходимо устанавливать на твердые виды покрытия.</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90" w:name="_Toc424230686"/>
      <w:bookmarkEnd w:id="290"/>
      <w:r>
        <w:rPr>
          <w:rFonts w:eastAsia="Times New Roman" w:cs="Times New Roman"/>
        </w:rPr>
        <w:t>Статья 46. Оформление и оборудование зданий и сооружений</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1. 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размещение антенн, водосточных труб, отмостки, домовых знаков, защитных сеток.</w:t>
      </w:r>
    </w:p>
    <w:p>
      <w:pPr>
        <w:pStyle w:val="Normal"/>
        <w:ind w:firstLine="567"/>
        <w:jc w:val="both"/>
        <w:rPr/>
      </w:pPr>
      <w:r>
        <w:rPr>
          <w:rFonts w:eastAsia="Times New Roman" w:cs="Times New Roman" w:ascii="Times New Roman" w:hAnsi="Times New Roman"/>
        </w:rPr>
        <w:t>2. Колористическое решение зданий и сооружений рекомендуется проектировать с учетом концепции общего цветового решения застройки улиц и территорий ВТРК "Архыз".</w:t>
      </w:r>
    </w:p>
    <w:p>
      <w:pPr>
        <w:pStyle w:val="Normal"/>
        <w:ind w:firstLine="567"/>
        <w:jc w:val="both"/>
        <w:rPr/>
      </w:pPr>
      <w:r>
        <w:rPr>
          <w:rFonts w:eastAsia="Times New Roman" w:cs="Times New Roman" w:ascii="Times New Roman" w:hAnsi="Times New Roman"/>
        </w:rPr>
        <w:t>Возможность остекления лоджий и балконов, замене рам, окраске стен в ВТРК "Архыз" рекомендуется устанавливать в составе градостроительного регламента.</w:t>
      </w:r>
    </w:p>
    <w:p>
      <w:pPr>
        <w:pStyle w:val="Normal"/>
        <w:ind w:firstLine="567"/>
        <w:jc w:val="both"/>
        <w:rPr/>
      </w:pPr>
      <w:r>
        <w:rPr>
          <w:rFonts w:eastAsia="Times New Roman" w:cs="Times New Roman" w:ascii="Times New Roman" w:hAnsi="Times New Roman"/>
        </w:rPr>
        <w:t>Размещение наружных кондиционеров и антенн-"тарелок" на зданиях, расположенных вдоль магистральных улиц туристических деревень, рекомендуется предусматривать со стороны дворовых фасадов.</w:t>
      </w:r>
    </w:p>
    <w:p>
      <w:pPr>
        <w:pStyle w:val="Normal"/>
        <w:ind w:firstLine="567"/>
        <w:jc w:val="both"/>
        <w:rPr/>
      </w:pPr>
      <w:r>
        <w:rPr>
          <w:rFonts w:eastAsia="Times New Roman" w:cs="Times New Roman" w:ascii="Times New Roman" w:hAnsi="Times New Roman"/>
        </w:rPr>
        <w:t>3. На зданиях и сооружениях туристических деревень рекомендуется предусматривать размещение следующих домовых знаков: указатель наименования улицы, площади, указатель номера дома и корпуса, международный символ доступности объекта для инвалидов, флагодержатели,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рекомендуется определять функциональным назначением и местоположением зданий относительно улично-дорожной сети.</w:t>
      </w:r>
    </w:p>
    <w:p>
      <w:pPr>
        <w:pStyle w:val="Normal"/>
        <w:ind w:firstLine="567"/>
        <w:jc w:val="both"/>
        <w:rPr/>
      </w:pPr>
      <w:r>
        <w:rPr>
          <w:rFonts w:eastAsia="Times New Roman" w:cs="Times New Roman" w:ascii="Times New Roman" w:hAnsi="Times New Roman"/>
        </w:rPr>
        <w:t>4. Для обеспечения поверхностного водоотовода от зданий и сооружений по их периметру рекомендуется предусматривать устройство отмостки с надежной гидроизоляцией. Уклон отмостки рекомендуется принимать не менее 10%</w:t>
      </w:r>
      <w:r>
        <w:rPr>
          <w:rFonts w:eastAsia="Times New Roman" w:cs="Times New Roman" w:ascii="Times New Roman" w:hAnsi="Times New Roman"/>
          <w:sz w:val="20"/>
          <w:szCs w:val="20"/>
        </w:rPr>
        <w:t>о</w:t>
      </w:r>
      <w:r>
        <w:rPr>
          <w:rFonts w:eastAsia="Times New Roman" w:cs="Times New Roman" w:ascii="Times New Roman" w:hAnsi="Times New Roman"/>
        </w:rPr>
        <w:t xml:space="preserve"> в сторону от здания. Ширину отмостки для зданий и сооружений рекомендуется принимать 0,8-1,2 м, в сложных геологических условиях (грунты с карстами) - 1,5-3 м. В случае примыкания здания к пешеходным коммуникациям, роль отмостки обычно выполняет тротуар с твердым видом покрытия.</w:t>
      </w:r>
    </w:p>
    <w:p>
      <w:pPr>
        <w:pStyle w:val="Normal"/>
        <w:ind w:firstLine="567"/>
        <w:jc w:val="both"/>
        <w:rPr/>
      </w:pPr>
      <w:r>
        <w:rPr>
          <w:rFonts w:eastAsia="Times New Roman" w:cs="Times New Roman" w:ascii="Times New Roman" w:hAnsi="Times New Roman"/>
        </w:rPr>
        <w:t>5. При организации стока воды со скатных крыш через водосточные трубы рекомендуется:</w:t>
      </w:r>
    </w:p>
    <w:p>
      <w:pPr>
        <w:pStyle w:val="Normal"/>
        <w:ind w:firstLine="567"/>
        <w:jc w:val="both"/>
        <w:rPr/>
      </w:pPr>
      <w:r>
        <w:rPr>
          <w:rFonts w:eastAsia="Times New Roman" w:cs="Times New Roman" w:ascii="Times New Roman" w:hAnsi="Times New Roman"/>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pPr>
        <w:pStyle w:val="Normal"/>
        <w:ind w:firstLine="567"/>
        <w:jc w:val="both"/>
        <w:rPr/>
      </w:pPr>
      <w:r>
        <w:rPr>
          <w:rFonts w:eastAsia="Times New Roman" w:cs="Times New Roman" w:ascii="Times New Roman" w:hAnsi="Times New Roman"/>
        </w:rPr>
        <w:t>- не допускать высоты свободного падения воды из выходного отверстия трубы более 200 мм;</w:t>
      </w:r>
    </w:p>
    <w:p>
      <w:pPr>
        <w:pStyle w:val="Normal"/>
        <w:ind w:firstLine="567"/>
        <w:jc w:val="both"/>
        <w:rPr/>
      </w:pPr>
      <w:r>
        <w:rPr>
          <w:rFonts w:eastAsia="Times New Roman" w:cs="Times New Roman" w:ascii="Times New Roman" w:hAnsi="Times New Roman"/>
        </w:rPr>
        <w:t>- предусматривать в местах стока воды из трубы на основные пешеходные коммуникации наличие твердого покрытия с уклоном не менее 5%</w:t>
      </w:r>
      <w:r>
        <w:rPr>
          <w:rFonts w:eastAsia="Times New Roman" w:cs="Times New Roman" w:ascii="Times New Roman" w:hAnsi="Times New Roman"/>
          <w:sz w:val="20"/>
        </w:rPr>
        <w:t>о</w:t>
      </w:r>
      <w:r>
        <w:rPr>
          <w:rFonts w:eastAsia="Times New Roman" w:cs="Times New Roman" w:ascii="Times New Roman" w:hAnsi="Times New Roman"/>
        </w:rPr>
        <w:t xml:space="preserve"> в направлении водоотводных лотков, либо - устройство лотков в покрытии (закрытых или перекрытых решетками согласно части </w:t>
      </w:r>
      <w:r>
        <w:fldChar w:fldCharType="begin"/>
      </w:r>
      <w:r>
        <w:instrText> HYPERLINK "http://www.garant.ru/products/ipo/prime/doc/70018446/" \l "2114"</w:instrText>
      </w:r>
      <w:r>
        <w:fldChar w:fldCharType="separate"/>
      </w:r>
      <w:r>
        <w:rPr>
          <w:rStyle w:val="Style5"/>
          <w:rFonts w:eastAsia="Times New Roman" w:cs="Times New Roman" w:ascii="Times New Roman" w:hAnsi="Times New Roman"/>
        </w:rPr>
        <w:t>14</w:t>
      </w:r>
      <w:r>
        <w:fldChar w:fldCharType="end"/>
      </w:r>
      <w:r>
        <w:rPr>
          <w:rFonts w:eastAsia="Times New Roman" w:cs="Times New Roman" w:ascii="Times New Roman" w:hAnsi="Times New Roman"/>
        </w:rPr>
        <w:t xml:space="preserve"> статьи 36 настоящих Правил);</w:t>
      </w:r>
    </w:p>
    <w:p>
      <w:pPr>
        <w:pStyle w:val="Normal"/>
        <w:ind w:firstLine="567"/>
        <w:jc w:val="both"/>
        <w:rPr/>
      </w:pPr>
      <w:r>
        <w:rPr>
          <w:rFonts w:eastAsia="Times New Roman" w:cs="Times New Roman" w:ascii="Times New Roman" w:hAnsi="Times New Roman"/>
        </w:rPr>
        <w:t>- предусматривать устройство дренажа в местах стока воды из трубы на газон или иные мягкие виды покрытия.</w:t>
      </w:r>
    </w:p>
    <w:p>
      <w:pPr>
        <w:pStyle w:val="Normal"/>
        <w:ind w:firstLine="567"/>
        <w:jc w:val="both"/>
        <w:rPr/>
      </w:pPr>
      <w:r>
        <w:rPr>
          <w:rFonts w:eastAsia="Times New Roman" w:cs="Times New Roman" w:ascii="Times New Roman" w:hAnsi="Times New Roman"/>
        </w:rPr>
        <w:t>6. Входные группы зданий общественного назначения рекомендуется оборудовать осветительным оборудованием, навесом (козырьком), элементами сопряжения поверхностей (ступени), устройствами и приспособлениями для перемещения инвалидов и маломобильных групп населения (пандусы, перила). По возможности уровень вестибюлей общественных зданий следует проектировать в отметках уровня земли при входе в здание.</w:t>
      </w:r>
    </w:p>
    <w:p>
      <w:pPr>
        <w:pStyle w:val="Normal"/>
        <w:ind w:firstLine="567"/>
        <w:jc w:val="both"/>
        <w:rPr/>
      </w:pPr>
      <w:r>
        <w:rPr>
          <w:rFonts w:eastAsia="Times New Roman" w:cs="Times New Roman" w:ascii="Times New Roman" w:hAnsi="Times New Roman"/>
        </w:rPr>
        <w:t>Рекомендуется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туристических деревень.</w:t>
      </w:r>
    </w:p>
    <w:p>
      <w:pPr>
        <w:pStyle w:val="Normal"/>
        <w:ind w:firstLine="567"/>
        <w:jc w:val="both"/>
        <w:rPr/>
      </w:pPr>
      <w:r>
        <w:rPr>
          <w:rFonts w:eastAsia="Times New Roman" w:cs="Times New Roman" w:ascii="Times New Roman" w:hAnsi="Times New Roman"/>
        </w:rPr>
        <w:t>Возможно использование части площадки при входных группах для временного паркирования легкового транспорта, если при этом обеспечивается ширина прохода, необходимая для пропуска пешеходного потока, что рекомендуется подтверждать расчетом (</w:t>
      </w:r>
      <w:r>
        <w:fldChar w:fldCharType="begin"/>
      </w:r>
      <w:r>
        <w:instrText> HYPERLINK "http://www.garant.ru/products/ipo/prime/doc/70018446/" \l "3000"</w:instrText>
      </w:r>
      <w:r>
        <w:fldChar w:fldCharType="separate"/>
      </w:r>
      <w:r>
        <w:rPr>
          <w:rStyle w:val="Style5"/>
          <w:rFonts w:eastAsia="Times New Roman" w:cs="Times New Roman" w:ascii="Times New Roman" w:hAnsi="Times New Roman"/>
        </w:rPr>
        <w:t>Приложение 3</w:t>
      </w:r>
      <w:r>
        <w:fldChar w:fldCharType="end"/>
      </w:r>
      <w:r>
        <w:rPr>
          <w:rFonts w:eastAsia="Times New Roman" w:cs="Times New Roman" w:ascii="Times New Roman" w:hAnsi="Times New Roman"/>
        </w:rPr>
        <w:t>). В этом случае следует предусматривать наличие разделяющих элементов (стационарного или переносного ограждения), контейнерного озеленения.</w:t>
      </w:r>
    </w:p>
    <w:p>
      <w:pPr>
        <w:pStyle w:val="Normal"/>
        <w:ind w:firstLine="567"/>
        <w:jc w:val="both"/>
        <w:rPr/>
      </w:pPr>
      <w:r>
        <w:rPr>
          <w:rFonts w:eastAsia="Times New Roman" w:cs="Times New Roman" w:ascii="Times New Roman" w:hAnsi="Times New Roman"/>
        </w:rPr>
        <w:t>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рекомендуется выносить на прилегающий тротуар не более чем на 0,5 м.</w:t>
      </w:r>
    </w:p>
    <w:p>
      <w:pPr>
        <w:pStyle w:val="Normal"/>
        <w:ind w:firstLine="567"/>
        <w:jc w:val="both"/>
        <w:rPr/>
      </w:pPr>
      <w:r>
        <w:rPr>
          <w:rFonts w:eastAsia="Times New Roman" w:cs="Times New Roman" w:ascii="Times New Roman" w:hAnsi="Times New Roman"/>
        </w:rPr>
        <w:t>7. Для защиты пешеходов и выступающих стеклянных витрин от падения снежного настила и сосулек с края крыши, а также падения плиток облицовки со стен отдельных зданий рекомендуется предусматривать установку специальных защитных сеток на уровне второго этажа, или для предотвращения образования сосулек рекомендуется применение электрического контура по внешнему периметру крыши.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91" w:name="_Toc424230687"/>
      <w:bookmarkEnd w:id="291"/>
      <w:r>
        <w:rPr>
          <w:rFonts w:eastAsia="Times New Roman" w:cs="Times New Roman"/>
        </w:rPr>
        <w:t>Статья 47. Площадки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На территории ВТРК "Архыз" рекомендуется проектировать следующие виды площадок: для игр детей, отдыха взрослых, занятий спортом и туризмом, установки мусоросборников,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рекомендуется согласовывать с уполномоченными органами охраны памятников, природопользования и охраны окружающей среды.</w:t>
      </w:r>
    </w:p>
    <w:p>
      <w:pPr>
        <w:pStyle w:val="Normal"/>
        <w:ind w:firstLine="567"/>
        <w:jc w:val="both"/>
        <w:rPr/>
      </w:pPr>
      <w:r>
        <w:rPr>
          <w:rFonts w:eastAsia="Times New Roman" w:cs="Times New Roman" w:ascii="Times New Roman" w:hAnsi="Times New Roman"/>
        </w:rPr>
        <w:t>2. Детские площадки обычно предназначены для игр и активного отдыха детей разных возрастов: преддошкольного (до 3 лет), дошкольного (до 7 лет), младшего и среднего школьного возраста (7-12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(12-16 лет) рекомендуется организация спортивно-игровых комплексов (микро-скалодромы, велодромы) и оборудование специальных мест для катания на самокатах, роликовых досках и коньках.</w:t>
      </w:r>
    </w:p>
    <w:p>
      <w:pPr>
        <w:pStyle w:val="Normal"/>
        <w:ind w:firstLine="567"/>
        <w:jc w:val="both"/>
        <w:rPr/>
      </w:pPr>
      <w:r>
        <w:rPr>
          <w:rFonts w:eastAsia="Times New Roman" w:cs="Times New Roman" w:ascii="Times New Roman" w:hAnsi="Times New Roman"/>
        </w:rPr>
        <w:t>3. Расстояние от окон общественных зданий до границ детских площадок дошкольного возраста рекомендуется принимать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преддошкольного возраста рекомендуется размещать на участке гостиничной застройки, площадки для младшего и среднего школьного возраста, комплексные игровые площадки рекомендуется размещать на озелененных территориях группы, спортивно-игровые комплексы и места для катания - в парках, лесопарках, природном комплексе, общественных площадях, специализированных зонах.</w:t>
      </w:r>
    </w:p>
    <w:p>
      <w:pPr>
        <w:pStyle w:val="Normal"/>
        <w:ind w:firstLine="567"/>
        <w:jc w:val="both"/>
        <w:rPr/>
      </w:pPr>
      <w:r>
        <w:rPr>
          <w:rFonts w:eastAsia="Times New Roman" w:cs="Times New Roman" w:ascii="Times New Roman" w:hAnsi="Times New Roman"/>
        </w:rPr>
        <w:t>4. Площадки для игр детей на территориях жилого назначения рекомендуется проектировать из расчета 0,5-0,7 кв.м на 1 посетителя. Размеры и условия размещения площадок рекомендуется проектировать в зависимости от возрастных групп детей и места размещения.</w:t>
      </w:r>
    </w:p>
    <w:p>
      <w:pPr>
        <w:pStyle w:val="Normal"/>
        <w:ind w:firstLine="567"/>
        <w:jc w:val="both"/>
        <w:rPr/>
      </w:pPr>
      <w:r>
        <w:rPr>
          <w:rFonts w:eastAsia="Times New Roman" w:cs="Times New Roman" w:ascii="Times New Roman" w:hAnsi="Times New Roman"/>
        </w:rPr>
        <w:t>Площадки детей преддошкольного возраста могут иметь незначительные размеры (50-75 кв.м), размещаться отдельно или совмещаться с площадками для тихого отдыха взрослых - в этом случае общую площадь площадки рекомендуется устанавливать не менее 80 кв.м.</w:t>
      </w:r>
    </w:p>
    <w:p>
      <w:pPr>
        <w:pStyle w:val="Normal"/>
        <w:ind w:firstLine="567"/>
        <w:jc w:val="both"/>
        <w:rPr/>
      </w:pPr>
      <w:r>
        <w:rPr>
          <w:rFonts w:eastAsia="Times New Roman" w:cs="Times New Roman" w:ascii="Times New Roman" w:hAnsi="Times New Roman"/>
        </w:rPr>
        <w:t>Оптимальный размер игровых площадок рекомендуется устанавливать для детей дошкольного возраста - 70-150 кв.м, школьного возраста - 100-300 кв.м, комплексных игровых площадок - 900-1600 кв.м. При этом возможно объединение площадок дошкольного возраста с площадками отдыха взрослых (размер площадки - не менее 150 кв.м). Соседствующие детские и взрослые площадки рекомендуется разделять густыми зелеными посадками и (или) декоративными стенками.</w:t>
      </w:r>
    </w:p>
    <w:p>
      <w:pPr>
        <w:pStyle w:val="Normal"/>
        <w:ind w:firstLine="567"/>
        <w:jc w:val="both"/>
        <w:rPr/>
      </w:pPr>
      <w:r>
        <w:rPr>
          <w:rFonts w:eastAsia="Times New Roman" w:cs="Times New Roman" w:ascii="Times New Roman" w:hAnsi="Times New Roman"/>
        </w:rPr>
        <w:t>В условиях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 или в составе застройки согласно части 4 статьи 54 настоящих Правил.</w:t>
      </w:r>
    </w:p>
    <w:p>
      <w:pPr>
        <w:pStyle w:val="Normal"/>
        <w:ind w:firstLine="567"/>
        <w:jc w:val="both"/>
        <w:rPr/>
      </w:pPr>
      <w:r>
        <w:rPr>
          <w:rFonts w:eastAsia="Times New Roman" w:cs="Times New Roman" w:ascii="Times New Roman" w:hAnsi="Times New Roman"/>
        </w:rPr>
        <w:t>5. Детские площадки рекомендуется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Подходы к детским площадкам не следует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стоянок и участков хранения автотранспортных средств рекомендуется принимать согласно СанПиН, площадок мусоросборников - 15 м, отстойно-разворотных площадок на конечных остановках маршрутов городского пассажирского транспорта - не менее 50 м.</w:t>
      </w:r>
    </w:p>
    <w:p>
      <w:pPr>
        <w:pStyle w:val="Normal"/>
        <w:ind w:firstLine="567"/>
        <w:jc w:val="both"/>
        <w:rPr/>
      </w:pPr>
      <w:r>
        <w:rPr>
          <w:rFonts w:eastAsia="Times New Roman" w:cs="Times New Roman" w:ascii="Times New Roman" w:hAnsi="Times New Roman"/>
        </w:rPr>
        <w:t>6. При реконструкции детских площадок во избежание травматизма рекомендуется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pPr>
        <w:pStyle w:val="Normal"/>
        <w:ind w:firstLine="567"/>
        <w:jc w:val="both"/>
        <w:rPr/>
      </w:pPr>
      <w:r>
        <w:rPr>
          <w:rFonts w:eastAsia="Times New Roman" w:cs="Times New Roman" w:ascii="Times New Roman" w:hAnsi="Times New Roman"/>
        </w:rPr>
        <w:t xml:space="preserve">7. Обязательный перечень </w:t>
      </w:r>
      <w:r>
        <w:fldChar w:fldCharType="begin"/>
      </w:r>
      <w:r>
        <w:instrText> HYPERLINK "http://www.garant.ru/products/ipo/prime/doc/70018446/" \l "2131016"</w:instrText>
      </w:r>
      <w:r>
        <w:fldChar w:fldCharType="separate"/>
      </w:r>
      <w:r>
        <w:rPr>
          <w:rStyle w:val="Style5"/>
          <w:rFonts w:eastAsia="Times New Roman" w:cs="Times New Roman" w:ascii="Times New Roman" w:hAnsi="Times New Roman"/>
        </w:rPr>
        <w:t>элементов благоустройства территории</w:t>
      </w:r>
      <w:r>
        <w:fldChar w:fldCharType="end"/>
      </w:r>
      <w:r>
        <w:rPr>
          <w:rFonts w:eastAsia="Times New Roman" w:cs="Times New Roman" w:ascii="Times New Roman" w:hAnsi="Times New Roman"/>
        </w:rPr>
        <w:t xml:space="preserve">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pPr>
        <w:pStyle w:val="Normal"/>
        <w:ind w:firstLine="567"/>
        <w:jc w:val="both"/>
        <w:rPr/>
      </w:pPr>
      <w:r>
        <w:rPr>
          <w:rFonts w:eastAsia="Times New Roman" w:cs="Times New Roman" w:ascii="Times New Roman" w:hAnsi="Times New Roman"/>
        </w:rPr>
        <w:t xml:space="preserve">Мягкие виды покрытия (песчаное, уплотненное песчаное на грунтовом основании или гравийной крошке, мягкое резиновое или мягкое синтетическое) рекомендуется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согласно </w:t>
      </w:r>
      <w:r>
        <w:fldChar w:fldCharType="begin"/>
      </w:r>
      <w:r>
        <w:instrText> HYPERLINK "http://www.garant.ru/products/ipo/prime/doc/70018446/" \l "2641"</w:instrText>
      </w:r>
      <w:r>
        <w:fldChar w:fldCharType="separate"/>
      </w:r>
      <w:r>
        <w:rPr>
          <w:rStyle w:val="Style5"/>
          <w:rFonts w:eastAsia="Times New Roman" w:cs="Times New Roman" w:ascii="Times New Roman" w:hAnsi="Times New Roman"/>
        </w:rPr>
        <w:t>части</w:t>
      </w:r>
      <w:r>
        <w:fldChar w:fldCharType="end"/>
      </w:r>
      <w:r>
        <w:rPr>
          <w:rFonts w:eastAsia="Times New Roman" w:cs="Times New Roman" w:ascii="Times New Roman" w:hAnsi="Times New Roman"/>
        </w:rPr>
        <w:t xml:space="preserve"> 4 статьи 41 настоящих Правил.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pPr>
        <w:pStyle w:val="Normal"/>
        <w:ind w:firstLine="567"/>
        <w:jc w:val="both"/>
        <w:rPr/>
      </w:pPr>
      <w:r>
        <w:rPr>
          <w:rFonts w:eastAsia="Times New Roman" w:cs="Times New Roman" w:ascii="Times New Roman" w:hAnsi="Times New Roman"/>
        </w:rPr>
        <w:t>Для сопряжения поверхностей площадки и газона рекомендуется применять садовые бортовые камни со скошенными или закругленными краями.</w:t>
      </w:r>
    </w:p>
    <w:p>
      <w:pPr>
        <w:pStyle w:val="Normal"/>
        <w:ind w:firstLine="567"/>
        <w:jc w:val="both"/>
        <w:rPr/>
      </w:pPr>
      <w:r>
        <w:rPr>
          <w:rFonts w:eastAsia="Times New Roman" w:cs="Times New Roman" w:ascii="Times New Roman" w:hAnsi="Times New Roman"/>
        </w:rPr>
        <w:t>Детские площадки рекомендуется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рекомендуется не допускать применение видов растений с колючками. На всех видах детских площадок рекомендуется не допускать применение растений с ядовитыми плодами.</w:t>
      </w:r>
    </w:p>
    <w:p>
      <w:pPr>
        <w:pStyle w:val="Normal"/>
        <w:ind w:firstLine="567"/>
        <w:jc w:val="both"/>
        <w:rPr/>
      </w:pPr>
      <w:r>
        <w:rPr>
          <w:rFonts w:eastAsia="Times New Roman" w:cs="Times New Roman" w:ascii="Times New Roman" w:hAnsi="Times New Roman"/>
        </w:rPr>
        <w:t xml:space="preserve">Размещение игрового оборудования следует проектировать с учетом нормативных параметров безопасности, представленных в </w:t>
      </w:r>
      <w:r>
        <w:fldChar w:fldCharType="begin"/>
      </w:r>
      <w:r>
        <w:instrText> HYPERLINK "http://www.garant.ru/products/ipo/prime/doc/70018446/" \l "21014"</w:instrText>
      </w:r>
      <w:r>
        <w:fldChar w:fldCharType="separate"/>
      </w:r>
      <w:r>
        <w:rPr>
          <w:rStyle w:val="Style5"/>
          <w:rFonts w:eastAsia="Times New Roman" w:cs="Times New Roman" w:ascii="Times New Roman" w:hAnsi="Times New Roman"/>
        </w:rPr>
        <w:t>таблице 14</w:t>
      </w:r>
      <w:r>
        <w:fldChar w:fldCharType="end"/>
      </w:r>
      <w:r>
        <w:rPr>
          <w:rFonts w:eastAsia="Times New Roman" w:cs="Times New Roman" w:ascii="Times New Roman" w:hAnsi="Times New Roman"/>
        </w:rPr>
        <w:t xml:space="preserve"> Приложение 2. 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pPr>
        <w:pStyle w:val="Normal"/>
        <w:ind w:firstLine="567"/>
        <w:jc w:val="both"/>
        <w:rPr/>
      </w:pPr>
      <w:r>
        <w:rPr>
          <w:rFonts w:eastAsia="Times New Roman" w:cs="Times New Roman" w:ascii="Times New Roman" w:hAnsi="Times New Roman"/>
        </w:rPr>
        <w:t>Осветительное оборудование обычно должно функционировать в режиме освещения территории, на которой расположена площадка. Рекомендуется не допускать размещение осветительного оборудования на высоте менее 2,5 м.</w:t>
      </w:r>
    </w:p>
    <w:p>
      <w:pPr>
        <w:pStyle w:val="Normal"/>
        <w:ind w:firstLine="567"/>
        <w:jc w:val="both"/>
        <w:rPr/>
      </w:pPr>
      <w:r>
        <w:rPr>
          <w:rFonts w:eastAsia="Times New Roman" w:cs="Times New Roman" w:ascii="Times New Roman" w:hAnsi="Times New Roman"/>
        </w:rPr>
        <w:t>8. Площадки отдыха обычно предназначены для тихого отдыха и настольных игр взрослого населения, их следует размещать на участках гостиничной застройки, рекомендуется - на озелененных территориях,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следует принимать согласно СанПиН 2.2.1/2.1.1.1200, отстойно-разворотных площадок на конечных остановках маршрутов городского пассажирского транспорта - не менее 50 м. Расстояние от окон домов до границ площадок тихого отдыха следует устанавливать не менее 10 м, площадок шумных настольных игр - не менее 25 м.</w:t>
      </w:r>
    </w:p>
    <w:p>
      <w:pPr>
        <w:pStyle w:val="Normal"/>
        <w:ind w:firstLine="567"/>
        <w:jc w:val="both"/>
        <w:rPr/>
      </w:pPr>
      <w:r>
        <w:rPr>
          <w:rFonts w:eastAsia="Times New Roman" w:cs="Times New Roman" w:ascii="Times New Roman" w:hAnsi="Times New Roman"/>
        </w:rPr>
        <w:t>9. Площадки отдыха в туристических деревнях следует проектировать из расчета 0,1-0,2 кв.м на гостя. Оптимальный размер площадки 50-100 кв.м, минимальный размер площадки отдыха - не менее 15-20 кв.м. Допускается совмещение площадок тихого отдыха с детскими площадками согласно части 4 данной статьи. Не рекомендуется объединение тихого отдыха и шумных настольных игр на одной площадке. На территориях парков рекомендуется организация площадок-лужаек для отдыха на траве.</w:t>
      </w:r>
    </w:p>
    <w:p>
      <w:pPr>
        <w:pStyle w:val="Normal"/>
        <w:ind w:firstLine="567"/>
        <w:jc w:val="both"/>
        <w:rPr/>
      </w:pPr>
      <w:r>
        <w:rPr>
          <w:rFonts w:eastAsia="Times New Roman" w:cs="Times New Roman" w:ascii="Times New Roman" w:hAnsi="Times New Roman"/>
        </w:rPr>
        <w:t>10. 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pPr>
        <w:pStyle w:val="Normal"/>
        <w:ind w:firstLine="567"/>
        <w:jc w:val="both"/>
        <w:rPr/>
      </w:pPr>
      <w:r>
        <w:rPr>
          <w:rFonts w:eastAsia="Times New Roman" w:cs="Times New Roman" w:ascii="Times New Roman" w:hAnsi="Times New Roman"/>
        </w:rPr>
        <w:t>Покрытие площадки рекомендуется проектировать в виде плиточного мощения. При совмещении площадок отдыха и детских площадок не рекомендуется допускать устройство твердых видов покрытия в зоне детских игр.</w:t>
      </w:r>
    </w:p>
    <w:p>
      <w:pPr>
        <w:pStyle w:val="Normal"/>
        <w:ind w:firstLine="567"/>
        <w:jc w:val="both"/>
        <w:rPr/>
      </w:pPr>
      <w:r>
        <w:rPr>
          <w:rFonts w:eastAsia="Times New Roman" w:cs="Times New Roman" w:ascii="Times New Roman" w:hAnsi="Times New Roman"/>
        </w:rPr>
        <w:t xml:space="preserve">Рекомендуется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Инсоляцию и затенение площадок отдыха рекомендуется обеспечивать согласно </w:t>
      </w:r>
      <w:r>
        <w:rPr>
          <w:rFonts w:cs="Times New Roman" w:ascii="Times New Roman" w:hAnsi="Times New Roman"/>
        </w:rPr>
        <w:t>части 7 данной статьи</w:t>
      </w:r>
      <w:r>
        <w:rPr>
          <w:rFonts w:eastAsia="Times New Roman" w:cs="Times New Roman" w:ascii="Times New Roman" w:hAnsi="Times New Roman"/>
        </w:rPr>
        <w:t>. Не допускается применение растений с ядовитыми плодами.</w:t>
      </w:r>
    </w:p>
    <w:p>
      <w:pPr>
        <w:pStyle w:val="Normal"/>
        <w:ind w:firstLine="567"/>
        <w:jc w:val="both"/>
        <w:rPr/>
      </w:pPr>
      <w:r>
        <w:rPr>
          <w:rFonts w:eastAsia="Times New Roman" w:cs="Times New Roman" w:ascii="Times New Roman" w:hAnsi="Times New Roman"/>
        </w:rPr>
        <w:t>Функционирование осветительного оборудования рекомендуется обеспечивать в режиме освещения территории, на которой расположена площадка.</w:t>
      </w:r>
    </w:p>
    <w:p>
      <w:pPr>
        <w:pStyle w:val="Normal"/>
        <w:ind w:firstLine="567"/>
        <w:jc w:val="both"/>
        <w:rPr/>
      </w:pPr>
      <w:r>
        <w:rPr>
          <w:rFonts w:eastAsia="Times New Roman" w:cs="Times New Roman" w:ascii="Times New Roman" w:hAnsi="Times New Roman"/>
        </w:rPr>
        <w:t>Минимальный размер площадки с установкой одного стола со скамьями для настольных игр рекомендуется устанавливать в пределах 12-15 кв.м.</w:t>
      </w:r>
    </w:p>
    <w:p>
      <w:pPr>
        <w:pStyle w:val="Normal"/>
        <w:ind w:firstLine="567"/>
        <w:jc w:val="both"/>
        <w:rPr/>
      </w:pPr>
      <w:r>
        <w:rPr>
          <w:rFonts w:eastAsia="Times New Roman" w:cs="Times New Roman" w:ascii="Times New Roman" w:hAnsi="Times New Roman"/>
        </w:rPr>
        <w:t>11. Спортивные площадки, предназначены для занятий физкультурой и спортом всех возрастных групп населения, их рекомендуется проектировать в составе территорий гостиниц и рекреационного назначения, участков спортивных сооружений. Проектирование спортивных площадок рекомендуется вести в зависимости от вида специализации площадки. Расстояние от границы площадки до мест хранения легковых автомобилей следует принимать согласно СанПиН 2.2.1/2.1.1.1200.</w:t>
      </w:r>
    </w:p>
    <w:p>
      <w:pPr>
        <w:pStyle w:val="Normal"/>
        <w:ind w:firstLine="567"/>
        <w:jc w:val="both"/>
        <w:rPr/>
      </w:pPr>
      <w:r>
        <w:rPr>
          <w:rFonts w:eastAsia="Times New Roman" w:cs="Times New Roman" w:ascii="Times New Roman" w:hAnsi="Times New Roman"/>
        </w:rPr>
        <w:t>12. Размещение и проектирование благоустройства спортивного ядра на территории туристической деревни рекомендуется вести с учетом обслуживания населения прилегающей жилой застройки. Минимальное расстояние от границ спортплощадок до окон домов рекомендуется 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рекомендуется устанавливать площадью не менее 150 кв.м, школьного возраста (100 детей) - не менее 250 кв.м.</w:t>
      </w:r>
    </w:p>
    <w:p>
      <w:pPr>
        <w:pStyle w:val="Normal"/>
        <w:ind w:firstLine="567"/>
        <w:jc w:val="both"/>
        <w:rPr/>
      </w:pPr>
      <w:r>
        <w:rPr>
          <w:rFonts w:eastAsia="Times New Roman" w:cs="Times New Roman" w:ascii="Times New Roman" w:hAnsi="Times New Roman"/>
        </w:rPr>
        <w:t xml:space="preserve">13. Как правило, обязательный перечень </w:t>
      </w:r>
      <w:r>
        <w:fldChar w:fldCharType="begin"/>
      </w:r>
      <w:r>
        <w:instrText> HYPERLINK "http://www.garant.ru/products/ipo/prime/doc/70018446/" \l "2131016"</w:instrText>
      </w:r>
      <w:r>
        <w:fldChar w:fldCharType="separate"/>
      </w:r>
      <w:r>
        <w:rPr>
          <w:rStyle w:val="Style5"/>
          <w:rFonts w:eastAsia="Times New Roman" w:cs="Times New Roman" w:ascii="Times New Roman" w:hAnsi="Times New Roman"/>
        </w:rPr>
        <w:t>элементов благоустройства территории</w:t>
      </w:r>
      <w:r>
        <w:fldChar w:fldCharType="end"/>
      </w:r>
      <w:r>
        <w:rPr>
          <w:rFonts w:eastAsia="Times New Roman" w:cs="Times New Roman" w:ascii="Times New Roman" w:hAnsi="Times New Roman"/>
        </w:rPr>
        <w:t xml:space="preserve"> на спортивной площадке включает: мягкие или газонные виды покрытия, спортивное оборудование. Рекомендуется озеленение и ограждение площадки.</w:t>
      </w:r>
    </w:p>
    <w:p>
      <w:pPr>
        <w:pStyle w:val="Normal"/>
        <w:ind w:firstLine="567"/>
        <w:jc w:val="both"/>
        <w:rPr/>
      </w:pPr>
      <w:r>
        <w:rPr>
          <w:rFonts w:eastAsia="Times New Roman" w:cs="Times New Roman" w:ascii="Times New Roman" w:hAnsi="Times New Roman"/>
        </w:rPr>
        <w:t>Озеленение рекомендуется размещать по периметру площадки, высаживая быстрорастущие деревья на расстоянии от края площадки не менее 2 м. Не рекомендуется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pPr>
        <w:pStyle w:val="Normal"/>
        <w:ind w:firstLine="567"/>
        <w:jc w:val="both"/>
        <w:rPr/>
      </w:pPr>
      <w:r>
        <w:rPr>
          <w:rFonts w:eastAsia="Times New Roman" w:cs="Times New Roman" w:ascii="Times New Roman" w:hAnsi="Times New Roman"/>
        </w:rPr>
        <w:t>Площадки рекомендуется оборудовать сетчатым ограждением высотой 2,5-3 м, а в местах примыкания спортивных площадок друг к другу - высотой не менее 1,2 м.</w:t>
      </w:r>
    </w:p>
    <w:p>
      <w:pPr>
        <w:pStyle w:val="Normal"/>
        <w:ind w:firstLine="567"/>
        <w:jc w:val="both"/>
        <w:rPr/>
      </w:pPr>
      <w:r>
        <w:rPr>
          <w:rFonts w:eastAsia="Times New Roman" w:cs="Times New Roman" w:ascii="Times New Roman" w:hAnsi="Times New Roman"/>
        </w:rPr>
        <w:t>14. Площадки для установки мусоросборников, - специально оборудованные места, предназначенные для сбора твердых бытовых отходов (далее - ТБО). Наличие таких площадок рекомендуется предусматривать в составе территорий и участков любого функционального назначения, где могут накапливаться ТБО.</w:t>
      </w:r>
    </w:p>
    <w:p>
      <w:pPr>
        <w:pStyle w:val="Normal"/>
        <w:ind w:firstLine="567"/>
        <w:jc w:val="both"/>
        <w:rPr/>
      </w:pPr>
      <w:r>
        <w:rPr>
          <w:rFonts w:eastAsia="Times New Roman" w:cs="Times New Roman" w:ascii="Times New Roman" w:hAnsi="Times New Roman"/>
        </w:rPr>
        <w:t>15. Площадки следует размещать удаленными от окон зданий, границ участков детских учреждений, мест отдыха на расстояние не менее, чем 20 м. При обособленном размещении площадки (вдали от проездов) рекомендуется предусматривать возможность удобного подъезда транспорта для очистки контейнеров и наличия разворотных площадок (12 м х 12 м).</w:t>
      </w:r>
    </w:p>
    <w:p>
      <w:pPr>
        <w:pStyle w:val="Normal"/>
        <w:ind w:firstLine="567"/>
        <w:jc w:val="both"/>
        <w:rPr/>
      </w:pPr>
      <w:r>
        <w:rPr>
          <w:rFonts w:eastAsia="Times New Roman" w:cs="Times New Roman" w:ascii="Times New Roman" w:hAnsi="Times New Roman"/>
        </w:rPr>
        <w:t>16. Размер площадки на один контейнер рекомендуется принимать - 2-3 кв.м. Между контейнером и краем площадки размер прохода рекомендуется устанавливать не менее 1,0 м, между контейнерами - не менее 0,35 м.</w:t>
      </w:r>
    </w:p>
    <w:p>
      <w:pPr>
        <w:pStyle w:val="Normal"/>
        <w:ind w:firstLine="567"/>
        <w:jc w:val="both"/>
        <w:rPr/>
      </w:pPr>
      <w:r>
        <w:rPr>
          <w:rFonts w:eastAsia="Times New Roman" w:cs="Times New Roman" w:ascii="Times New Roman" w:hAnsi="Times New Roman"/>
        </w:rPr>
        <w:t>17. Как правило, обязательный перечень элементов благоустройства территории на площадке для установки мусоросборников включает: твердые виды покрытия, элементы сопряжения поверхности площадки с прилегающими территориями, контейнеры для сбора ТБО, осветительное оборудование. Рекомендуется проектировать озеленение площадки.</w:t>
      </w:r>
    </w:p>
    <w:p>
      <w:pPr>
        <w:pStyle w:val="Normal"/>
        <w:ind w:firstLine="567"/>
        <w:jc w:val="both"/>
        <w:rPr/>
      </w:pPr>
      <w:r>
        <w:rPr>
          <w:rFonts w:eastAsia="Times New Roman" w:cs="Times New Roman" w:ascii="Times New Roman" w:hAnsi="Times New Roman"/>
        </w:rPr>
        <w:t>Покрытие площадки следует устанавливать аналогичным покрытию транспортных проездов. Уклон покрытия площадки рекомендуется устанавливать составляющим 5-10%</w:t>
      </w:r>
      <w:r>
        <w:rPr>
          <w:rFonts w:eastAsia="Times New Roman" w:cs="Times New Roman" w:ascii="Times New Roman" w:hAnsi="Times New Roman"/>
          <w:sz w:val="20"/>
        </w:rPr>
        <w:t>о</w:t>
      </w:r>
      <w:r>
        <w:rPr>
          <w:rFonts w:eastAsia="Times New Roman" w:cs="Times New Roman" w:ascii="Times New Roman" w:hAnsi="Times New Roman"/>
        </w:rPr>
        <w:t xml:space="preserve"> в сторону проезжей части, чтобы не допускать застаивания воды и скатывания контейнера.</w:t>
      </w:r>
    </w:p>
    <w:p>
      <w:pPr>
        <w:pStyle w:val="Normal"/>
        <w:ind w:firstLine="567"/>
        <w:jc w:val="both"/>
        <w:rPr/>
      </w:pPr>
      <w:r>
        <w:rPr>
          <w:rFonts w:eastAsia="Times New Roman" w:cs="Times New Roman" w:ascii="Times New Roman" w:hAnsi="Times New Roman"/>
        </w:rPr>
        <w:t>Сопряжение площадки с прилегающим проездом, как правило, осуществляется в одном уровне, без укладки бордюрного камня, с газоном - садовым бортом или декоративной стенкой высотой 1,0-1,2 м.</w:t>
      </w:r>
    </w:p>
    <w:p>
      <w:pPr>
        <w:pStyle w:val="Normal"/>
        <w:ind w:firstLine="567"/>
        <w:jc w:val="both"/>
        <w:rPr/>
      </w:pPr>
      <w:r>
        <w:rPr>
          <w:rFonts w:eastAsia="Times New Roman" w:cs="Times New Roman" w:ascii="Times New Roman" w:hAnsi="Times New Roman"/>
        </w:rPr>
        <w:t>Функционирование осветительного оборудования рекомендуется устанавливать в режиме освещения прилегающей территории с высотой опор - не менее 3 м.</w:t>
      </w:r>
    </w:p>
    <w:p>
      <w:pPr>
        <w:pStyle w:val="Normal"/>
        <w:ind w:firstLine="567"/>
        <w:jc w:val="both"/>
        <w:rPr/>
      </w:pPr>
      <w:r>
        <w:rPr>
          <w:rFonts w:eastAsia="Times New Roman" w:cs="Times New Roman" w:ascii="Times New Roman" w:hAnsi="Times New Roman"/>
        </w:rPr>
        <w:t>Озеленение рекомендуется производить деревьями с высокой степенью фитонцидности, густой и плотной кроной. Высоту свободного пространства над уровнем покрытия площадки до кроны рекомендуется предусматривать не менее 3,0 м.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w:t>
      </w:r>
    </w:p>
    <w:p>
      <w:pPr>
        <w:pStyle w:val="Normal"/>
        <w:ind w:firstLine="567"/>
        <w:jc w:val="both"/>
        <w:rPr/>
      </w:pPr>
      <w:r>
        <w:rPr>
          <w:rFonts w:eastAsia="Times New Roman" w:cs="Times New Roman" w:ascii="Times New Roman" w:hAnsi="Times New Roman"/>
        </w:rPr>
        <w:t>18. На территории ВТРК "Архыз" рекомендуется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разметкой), внеуличных (в виде "карманов" и отступов от проезжей части), приобъектных (у объекта или группы объектов), прочих (грузовых, перехватывающих).</w:t>
      </w:r>
    </w:p>
    <w:p>
      <w:pPr>
        <w:pStyle w:val="Normal"/>
        <w:ind w:firstLine="567"/>
        <w:jc w:val="both"/>
        <w:rPr/>
      </w:pPr>
      <w:r>
        <w:rPr>
          <w:rFonts w:eastAsia="Times New Roman" w:cs="Times New Roman" w:ascii="Times New Roman" w:hAnsi="Times New Roman"/>
        </w:rPr>
        <w:t>19. Следует учитывать, что расстояние от границ автостоянок до окон общественных заданий принимается в соответствии со СанПиН 2.2.1/2.1.1.1200. На площадках приобъектных автостоянок долю мест для автомобилей инвалидов рекомендуется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pPr>
        <w:pStyle w:val="Normal"/>
        <w:ind w:firstLine="567"/>
        <w:jc w:val="both"/>
        <w:rPr/>
      </w:pPr>
      <w:r>
        <w:rPr>
          <w:rFonts w:eastAsia="Times New Roman" w:cs="Times New Roman" w:ascii="Times New Roman" w:hAnsi="Times New Roman"/>
        </w:rPr>
        <w:t>20. Следует учитывать, что не допускается проектировать размещение площадок автостоянок в зоне остановок городского пассажирского транспорта, организацию заездов на автостоянки следует предусматривать не ближе 15 м от конца или начала посадочной площадки.</w:t>
      </w:r>
    </w:p>
    <w:p>
      <w:pPr>
        <w:pStyle w:val="Normal"/>
        <w:ind w:firstLine="567"/>
        <w:jc w:val="both"/>
        <w:rPr/>
      </w:pPr>
      <w:r>
        <w:rPr>
          <w:rFonts w:eastAsia="Times New Roman" w:cs="Times New Roman" w:ascii="Times New Roman" w:hAnsi="Times New Roman"/>
        </w:rPr>
        <w:t>21. Как правило, обязательный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Площадки для длительного хранения автомобилей могут быть оборудованы навесами.</w:t>
      </w:r>
    </w:p>
    <w:p>
      <w:pPr>
        <w:pStyle w:val="Normal"/>
        <w:ind w:firstLine="567"/>
        <w:jc w:val="both"/>
        <w:rPr/>
      </w:pPr>
      <w:r>
        <w:rPr>
          <w:rFonts w:eastAsia="Times New Roman" w:cs="Times New Roman" w:ascii="Times New Roman" w:hAnsi="Times New Roman"/>
        </w:rPr>
        <w:t>Покрытие площадок рекомендуется проектировать аналогичным покрытию транспортных проездов.</w:t>
      </w:r>
    </w:p>
    <w:p>
      <w:pPr>
        <w:pStyle w:val="Normal"/>
        <w:ind w:firstLine="567"/>
        <w:jc w:val="both"/>
        <w:rPr/>
      </w:pPr>
      <w:r>
        <w:rPr>
          <w:rFonts w:eastAsia="Times New Roman" w:cs="Times New Roman" w:ascii="Times New Roman" w:hAnsi="Times New Roman"/>
        </w:rPr>
        <w:t>Сопряжение покрытия площадки с проездом рекомендуется выполнять в одном уровне без укладки бортового камня, с газоном - в соответствии с частью 3 статьи 38 настоящих Правил.</w:t>
      </w:r>
    </w:p>
    <w:p>
      <w:pPr>
        <w:pStyle w:val="Normal"/>
        <w:ind w:firstLine="567"/>
        <w:jc w:val="both"/>
        <w:rPr/>
      </w:pPr>
      <w:r>
        <w:rPr>
          <w:rFonts w:eastAsia="Times New Roman" w:cs="Times New Roman" w:ascii="Times New Roman" w:hAnsi="Times New Roman"/>
        </w:rPr>
        <w:t>Разделительные элементы на площадках могут быть выполнены в виде разметки (белых полос), озелененных полос (газонов), контейнерного озеленения.</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92" w:name="_Toc424230688"/>
      <w:bookmarkEnd w:id="292"/>
      <w:r>
        <w:rPr>
          <w:rFonts w:eastAsia="Times New Roman" w:cs="Times New Roman"/>
        </w:rPr>
        <w:t>Статья 48. Пешеходные коммуникации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1. Пешеходные коммуникации обеспечивают пешеходные связи и передвижения на территории ВТРК "Архыз". К пешеходным коммуникациям относят: тротуары, аллеи, дорожки, тропинки. При проектировании пешеходных коммуникаций на территории населенного пункта рекомендуется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 системе пешеходных коммуникаций рекомендуется выделять основные и второстепенные пешеходные связи.</w:t>
      </w:r>
    </w:p>
    <w:p>
      <w:pPr>
        <w:pStyle w:val="Normal"/>
        <w:ind w:firstLine="567"/>
        <w:jc w:val="both"/>
        <w:rPr/>
      </w:pPr>
      <w:r>
        <w:rPr>
          <w:rFonts w:eastAsia="Times New Roman" w:cs="Times New Roman" w:ascii="Times New Roman" w:hAnsi="Times New Roman"/>
        </w:rPr>
        <w:t>2. При проектировании пешеходных коммуникаций продольный уклон рекомендуется принимать не более 60%</w:t>
      </w:r>
      <w:r>
        <w:rPr>
          <w:rFonts w:eastAsia="Times New Roman" w:cs="Times New Roman" w:ascii="Times New Roman" w:hAnsi="Times New Roman"/>
          <w:sz w:val="20"/>
        </w:rPr>
        <w:t>о</w:t>
      </w:r>
      <w:r>
        <w:rPr>
          <w:rFonts w:eastAsia="Times New Roman" w:cs="Times New Roman" w:ascii="Times New Roman" w:hAnsi="Times New Roman"/>
        </w:rPr>
        <w:t>, поперечный уклон (односкатный или двускатный) - оптимальный 20%</w:t>
      </w:r>
      <w:r>
        <w:rPr>
          <w:rFonts w:eastAsia="Times New Roman" w:cs="Times New Roman" w:ascii="Times New Roman" w:hAnsi="Times New Roman"/>
          <w:sz w:val="20"/>
        </w:rPr>
        <w:t>о</w:t>
      </w:r>
      <w:r>
        <w:rPr>
          <w:rFonts w:eastAsia="Times New Roman" w:cs="Times New Roman" w:ascii="Times New Roman" w:hAnsi="Times New Roman"/>
        </w:rPr>
        <w:t>, минимальный - 5%</w:t>
      </w:r>
      <w:r>
        <w:rPr>
          <w:rFonts w:eastAsia="Times New Roman" w:cs="Times New Roman" w:ascii="Times New Roman" w:hAnsi="Times New Roman"/>
          <w:sz w:val="20"/>
        </w:rPr>
        <w:t>о</w:t>
      </w:r>
      <w:r>
        <w:rPr>
          <w:rFonts w:eastAsia="Times New Roman" w:cs="Times New Roman" w:ascii="Times New Roman" w:hAnsi="Times New Roman"/>
        </w:rPr>
        <w:t>, максимальный - 30%</w:t>
      </w:r>
      <w:r>
        <w:rPr>
          <w:rFonts w:eastAsia="Times New Roman" w:cs="Times New Roman" w:ascii="Times New Roman" w:hAnsi="Times New Roman"/>
          <w:sz w:val="20"/>
        </w:rPr>
        <w:t>о</w:t>
      </w:r>
      <w:r>
        <w:rPr>
          <w:rFonts w:eastAsia="Times New Roman" w:cs="Times New Roman" w:ascii="Times New Roman" w:hAnsi="Times New Roman"/>
        </w:rPr>
        <w:t>. Уклоны пешеходных коммуникаций с учетом обеспечения передвижения инвалидных колясок рекомендуется предусматривать не превышающими: продольный - 50%</w:t>
      </w:r>
      <w:r>
        <w:rPr>
          <w:rFonts w:eastAsia="Times New Roman" w:cs="Times New Roman" w:ascii="Times New Roman" w:hAnsi="Times New Roman"/>
          <w:sz w:val="22"/>
        </w:rPr>
        <w:t>о</w:t>
      </w:r>
      <w:r>
        <w:rPr>
          <w:rFonts w:eastAsia="Times New Roman" w:cs="Times New Roman" w:ascii="Times New Roman" w:hAnsi="Times New Roman"/>
        </w:rPr>
        <w:t>, поперечный - 20%</w:t>
      </w:r>
      <w:r>
        <w:rPr>
          <w:rFonts w:eastAsia="Times New Roman" w:cs="Times New Roman" w:ascii="Times New Roman" w:hAnsi="Times New Roman"/>
          <w:sz w:val="22"/>
        </w:rPr>
        <w:t>о</w:t>
      </w:r>
      <w:r>
        <w:rPr>
          <w:rFonts w:eastAsia="Times New Roman" w:cs="Times New Roman" w:ascii="Times New Roman" w:hAnsi="Times New Roman"/>
        </w:rPr>
        <w:t>. На пешеходных коммуникациях с уклонами 30-60%</w:t>
      </w:r>
      <w:r>
        <w:rPr>
          <w:rFonts w:eastAsia="Times New Roman" w:cs="Times New Roman" w:ascii="Times New Roman" w:hAnsi="Times New Roman"/>
          <w:sz w:val="22"/>
        </w:rPr>
        <w:t>о</w:t>
      </w:r>
      <w:r>
        <w:rPr>
          <w:rFonts w:eastAsia="Times New Roman" w:cs="Times New Roman" w:ascii="Times New Roman" w:hAnsi="Times New Roman"/>
        </w:rPr>
        <w:t xml:space="preserve">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pPr>
        <w:pStyle w:val="Normal"/>
        <w:ind w:firstLine="567"/>
        <w:jc w:val="both"/>
        <w:rPr/>
      </w:pPr>
      <w:r>
        <w:rPr>
          <w:rFonts w:eastAsia="Times New Roman" w:cs="Times New Roman" w:ascii="Times New Roman" w:hAnsi="Times New Roman"/>
        </w:rPr>
        <w:t>3. В случае необходимости расширения тротуаров возможно устраивать пешеходные галереи в составе прилегающей застройки.</w:t>
      </w:r>
    </w:p>
    <w:p>
      <w:pPr>
        <w:pStyle w:val="Normal"/>
        <w:ind w:firstLine="567"/>
        <w:jc w:val="both"/>
        <w:rPr/>
      </w:pPr>
      <w:r>
        <w:rPr>
          <w:rFonts w:eastAsia="Times New Roman" w:cs="Times New Roman" w:ascii="Times New Roman" w:hAnsi="Times New Roman"/>
        </w:rPr>
        <w:t>4. Основные пешеходные коммуникации, обеспечивают связь общественных, производственных и иных зданий с остановками общественного транспорта, общественными объектами, рекреационными территориями, а также связь между основными пунктами тяготения в составе общественных зон и объектов рекреации.</w:t>
      </w:r>
    </w:p>
    <w:p>
      <w:pPr>
        <w:pStyle w:val="Normal"/>
        <w:ind w:firstLine="567"/>
        <w:jc w:val="both"/>
        <w:rPr/>
      </w:pPr>
      <w:r>
        <w:rPr>
          <w:rFonts w:eastAsia="Times New Roman" w:cs="Times New Roman" w:ascii="Times New Roman" w:hAnsi="Times New Roman"/>
        </w:rPr>
        <w:t xml:space="preserve">5. 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рекомендуется рассчитывать в зависимости от интенсивности пешеходного движения в часы "пик" и пропускной способности одной полосы движения в соответствии с </w:t>
      </w:r>
      <w:r>
        <w:fldChar w:fldCharType="begin"/>
      </w:r>
      <w:r>
        <w:instrText> HYPERLINK "http://www.garant.ru/products/ipo/prime/doc/70018446/" \l "3000"</w:instrText>
      </w:r>
      <w:r>
        <w:fldChar w:fldCharType="separate"/>
      </w:r>
      <w:r>
        <w:rPr>
          <w:rStyle w:val="Style5"/>
          <w:rFonts w:eastAsia="Times New Roman" w:cs="Times New Roman" w:ascii="Times New Roman" w:hAnsi="Times New Roman"/>
        </w:rPr>
        <w:t>Приложением 3</w:t>
      </w:r>
      <w:r>
        <w:fldChar w:fldCharType="end"/>
      </w:r>
      <w:r>
        <w:rPr>
          <w:rFonts w:eastAsia="Times New Roman" w:cs="Times New Roman" w:ascii="Times New Roman" w:hAnsi="Times New Roman"/>
        </w:rPr>
        <w:t>. Трассировку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pPr>
        <w:pStyle w:val="Normal"/>
        <w:ind w:firstLine="567"/>
        <w:jc w:val="both"/>
        <w:rPr/>
      </w:pPr>
      <w:r>
        <w:rPr>
          <w:rFonts w:eastAsia="Times New Roman" w:cs="Times New Roman" w:ascii="Times New Roman" w:hAnsi="Times New Roman"/>
        </w:rPr>
        <w:t>6. Во всех случаях пересечения основных пешеходных коммуникаций с транспортными проездами рекомендуется устройство бордюрных пандусов. При устройстве на пешеходных коммуникациях лестниц, пандусов, мостиков рекомендуется обеспечивать создание равновеликой пропускной способности этих элементов.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pPr>
        <w:pStyle w:val="Normal"/>
        <w:ind w:firstLine="567"/>
        <w:jc w:val="both"/>
        <w:rPr/>
      </w:pPr>
      <w:r>
        <w:rPr>
          <w:rFonts w:eastAsia="Times New Roman" w:cs="Times New Roman" w:ascii="Times New Roman" w:hAnsi="Times New Roman"/>
        </w:rPr>
        <w:t>7. Рекомендуется предусматривать, что насаждения,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рекомендуется предусматривать уширения (разъездные площадки) для обеспечения передвижения инвалидов в креслах-колясках во встречных направлениях.</w:t>
      </w:r>
    </w:p>
    <w:p>
      <w:pPr>
        <w:pStyle w:val="Normal"/>
        <w:ind w:firstLine="567"/>
        <w:jc w:val="both"/>
        <w:rPr/>
      </w:pPr>
      <w:r>
        <w:rPr>
          <w:rFonts w:eastAsia="Times New Roman" w:cs="Times New Roman" w:ascii="Times New Roman" w:hAnsi="Times New Roman"/>
        </w:rPr>
        <w:t>8. 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pPr>
        <w:pStyle w:val="Normal"/>
        <w:ind w:firstLine="567"/>
        <w:jc w:val="both"/>
        <w:rPr/>
      </w:pPr>
      <w:r>
        <w:rPr>
          <w:rFonts w:eastAsia="Times New Roman" w:cs="Times New Roman" w:ascii="Times New Roman" w:hAnsi="Times New Roman"/>
        </w:rPr>
        <w:t>9. 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как правило, должна прилегать к пешеходным дорожкам, иметь глубину 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pPr>
        <w:pStyle w:val="Normal"/>
        <w:ind w:firstLine="567"/>
        <w:jc w:val="both"/>
        <w:rPr/>
      </w:pPr>
      <w:r>
        <w:rPr>
          <w:rFonts w:eastAsia="Times New Roman" w:cs="Times New Roman" w:ascii="Times New Roman" w:hAnsi="Times New Roman"/>
        </w:rPr>
        <w:t xml:space="preserve">10. Как правило, обязательный перечень </w:t>
      </w:r>
      <w:r>
        <w:fldChar w:fldCharType="begin"/>
      </w:r>
      <w:r>
        <w:instrText> HYPERLINK "http://www.garant.ru/products/ipo/prime/doc/70018446/" \l "2131016"</w:instrText>
      </w:r>
      <w:r>
        <w:fldChar w:fldCharType="separate"/>
      </w:r>
      <w:r>
        <w:rPr>
          <w:rStyle w:val="Style5"/>
          <w:rFonts w:eastAsia="Times New Roman" w:cs="Times New Roman" w:ascii="Times New Roman" w:hAnsi="Times New Roman"/>
        </w:rPr>
        <w:t>элементов благоустройства территории</w:t>
      </w:r>
      <w:r>
        <w:fldChar w:fldCharType="end"/>
      </w:r>
      <w:r>
        <w:rPr>
          <w:rFonts w:eastAsia="Times New Roman" w:cs="Times New Roman" w:ascii="Times New Roman" w:hAnsi="Times New Roman"/>
        </w:rPr>
        <w:t xml:space="preserve">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pPr>
        <w:pStyle w:val="Normal"/>
        <w:ind w:firstLine="567"/>
        <w:jc w:val="both"/>
        <w:rPr/>
      </w:pPr>
      <w:r>
        <w:rPr>
          <w:rFonts w:eastAsia="Times New Roman" w:cs="Times New Roman" w:ascii="Times New Roman" w:hAnsi="Times New Roman"/>
        </w:rPr>
        <w:t xml:space="preserve">Требования к покрытиям и конструкциям основных пешеходных коммуникаций рекомендуется устанавливать с возможностью их всесезонной эксплуатации, а при ширине 2,25 м и более - возможностью эпизодического проезда специализированных транспортных средств. Рекомендуется предусматривать мощение плиткой. Проектирование ограждений пешеходных коммуникаций, расположенных на верхних бровках откосов и террас, рекомендуется производить согласно </w:t>
      </w:r>
      <w:r>
        <w:fldChar w:fldCharType="begin"/>
      </w:r>
      <w:r>
        <w:instrText> HYPERLINK "http://www.garant.ru/products/ipo/prime/doc/70018446/" \l "217"</w:instrText>
      </w:r>
      <w:r>
        <w:fldChar w:fldCharType="separate"/>
      </w:r>
      <w:r>
        <w:rPr>
          <w:rStyle w:val="Style5"/>
          <w:rFonts w:eastAsia="Times New Roman" w:cs="Times New Roman" w:ascii="Times New Roman" w:hAnsi="Times New Roman"/>
        </w:rPr>
        <w:t>части</w:t>
      </w:r>
      <w:r>
        <w:fldChar w:fldCharType="end"/>
      </w:r>
      <w:r>
        <w:rPr>
          <w:rFonts w:eastAsia="Times New Roman" w:cs="Times New Roman" w:ascii="Times New Roman" w:hAnsi="Times New Roman"/>
        </w:rPr>
        <w:t xml:space="preserve"> 7 статьи 36 настоящих Правил.</w:t>
      </w:r>
    </w:p>
    <w:p>
      <w:pPr>
        <w:pStyle w:val="Normal"/>
        <w:ind w:firstLine="567"/>
        <w:jc w:val="both"/>
        <w:rPr/>
      </w:pPr>
      <w:r>
        <w:rPr>
          <w:rFonts w:eastAsia="Times New Roman" w:cs="Times New Roman" w:ascii="Times New Roman" w:hAnsi="Times New Roman"/>
        </w:rPr>
        <w:t>Возможно размещение некапитальных нестационарных сооружений.</w:t>
      </w:r>
    </w:p>
    <w:p>
      <w:pPr>
        <w:pStyle w:val="Normal"/>
        <w:ind w:firstLine="567"/>
        <w:jc w:val="both"/>
        <w:rPr/>
      </w:pPr>
      <w:r>
        <w:rPr>
          <w:rFonts w:eastAsia="Times New Roman" w:cs="Times New Roman" w:ascii="Times New Roman" w:hAnsi="Times New Roman"/>
        </w:rPr>
        <w:t>11. 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 Ширина второстепенных пешеходных коммуникаций обычно принимается порядка 1,0-1,5 м.</w:t>
      </w:r>
    </w:p>
    <w:p>
      <w:pPr>
        <w:pStyle w:val="Normal"/>
        <w:ind w:firstLine="567"/>
        <w:jc w:val="both"/>
        <w:rPr/>
      </w:pPr>
      <w:r>
        <w:rPr>
          <w:rFonts w:eastAsia="Times New Roman" w:cs="Times New Roman" w:ascii="Times New Roman" w:hAnsi="Times New Roman"/>
        </w:rPr>
        <w:t>12. 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pPr>
        <w:pStyle w:val="Normal"/>
        <w:ind w:firstLine="567"/>
        <w:jc w:val="both"/>
        <w:rPr/>
      </w:pPr>
      <w:r>
        <w:rPr>
          <w:rFonts w:eastAsia="Times New Roman" w:cs="Times New Roman" w:ascii="Times New Roman" w:hAnsi="Times New Roman"/>
        </w:rPr>
        <w:t>На дорожках скверов, бульваров, садов туристической деревни рекомендуется предусматривать твердые виды покрытия с элементами сопряжения. Рекомендуется мощение плиткой.</w:t>
      </w:r>
    </w:p>
    <w:p>
      <w:pPr>
        <w:pStyle w:val="Normal"/>
        <w:ind w:firstLine="567"/>
        <w:jc w:val="both"/>
        <w:rPr/>
      </w:pPr>
      <w:r>
        <w:rPr>
          <w:rFonts w:eastAsia="Times New Roman" w:cs="Times New Roman" w:ascii="Times New Roman" w:hAnsi="Times New Roman"/>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93" w:name="_Toc424230689"/>
      <w:bookmarkEnd w:id="293"/>
      <w:r>
        <w:rPr>
          <w:rFonts w:eastAsia="Times New Roman" w:cs="Times New Roman"/>
        </w:rPr>
        <w:t>Статья 49. Транспортные проезды</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w:t>
      </w:r>
    </w:p>
    <w:p>
      <w:pPr>
        <w:pStyle w:val="Normal"/>
        <w:ind w:firstLine="567"/>
        <w:jc w:val="both"/>
        <w:rPr/>
      </w:pPr>
      <w:r>
        <w:rPr>
          <w:rFonts w:eastAsia="Times New Roman" w:cs="Times New Roman" w:ascii="Times New Roman" w:hAnsi="Times New Roman"/>
        </w:rPr>
        <w:t>2. 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pPr>
        <w:pStyle w:val="Normal"/>
        <w:ind w:firstLine="567"/>
        <w:jc w:val="both"/>
        <w:rPr/>
      </w:pPr>
      <w:r>
        <w:rPr>
          <w:rFonts w:eastAsia="Times New Roman" w:cs="Times New Roman" w:ascii="Times New Roman" w:hAnsi="Times New Roman"/>
        </w:rPr>
        <w:t>3. 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pPr>
        <w:pStyle w:val="Normal"/>
        <w:ind w:firstLine="567"/>
        <w:jc w:val="both"/>
        <w:rPr/>
      </w:pPr>
      <w:r>
        <w:rPr>
          <w:rFonts w:eastAsia="Times New Roman" w:cs="Times New Roman" w:ascii="Times New Roman" w:hAnsi="Times New Roman"/>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pPr>
        <w:pStyle w:val="Normal"/>
        <w:ind w:firstLine="567"/>
        <w:jc w:val="both"/>
        <w:rPr/>
      </w:pPr>
      <w:r>
        <w:rPr>
          <w:rFonts w:eastAsia="Times New Roman" w:cs="Times New Roman" w:ascii="Times New Roman" w:hAnsi="Times New Roman"/>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2"/>
        <w:numPr>
          <w:ilvl w:val="0"/>
          <w:numId w:val="0"/>
        </w:numPr>
        <w:jc w:val="center"/>
        <w:rPr/>
      </w:pPr>
      <w:bookmarkStart w:id="294" w:name="_Toc424230690"/>
      <w:bookmarkEnd w:id="294"/>
      <w:r>
        <w:rPr>
          <w:rFonts w:eastAsia="Times New Roman" w:cs="Times New Roman"/>
        </w:rPr>
        <w:t>Глава 11. Благоустройство на территориях общественного назначения</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295" w:name="_Toc424230691"/>
      <w:bookmarkEnd w:id="295"/>
      <w:r>
        <w:rPr>
          <w:rFonts w:eastAsia="Times New Roman" w:cs="Times New Roman"/>
        </w:rPr>
        <w:t>Статья 50. Общие положения благоустройства на территориях общественного назначения</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Объектами нормирования благоустройства на территориях общественного назначения являются: общественные пространства туристической деревни, участки и зоны общественной застройки, которые в различных сочетаниях формируют все разновидности общественных территорий ВТРК "Архыз": центры общегородского и локального значения, многофункциональные, примагистральные и специализированные общественные зоны ВТРК "Архыз".</w:t>
      </w:r>
    </w:p>
    <w:p>
      <w:pPr>
        <w:pStyle w:val="Normal"/>
        <w:ind w:firstLine="567"/>
        <w:jc w:val="both"/>
        <w:rPr/>
      </w:pPr>
      <w:r>
        <w:rPr>
          <w:rFonts w:eastAsia="Times New Roman" w:cs="Times New Roman" w:ascii="Times New Roman" w:hAnsi="Times New Roman"/>
        </w:rPr>
        <w:t>2. На территориях общественного назначения при благоустройстве рекомендуется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достижение стилевого единства элементов благоустройства с окружающей средой.</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r>
        <w:br w:type="page"/>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96" w:name="_Toc424230692"/>
      <w:bookmarkEnd w:id="296"/>
      <w:r>
        <w:rPr>
          <w:rFonts w:eastAsia="Times New Roman" w:cs="Times New Roman"/>
        </w:rPr>
        <w:t>Статья 51. Общественные пространства</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 xml:space="preserve">1. Общественные пространства ВТРК "Архыз" включают пешеходные коммуникации, </w:t>
      </w:r>
      <w:r>
        <w:fldChar w:fldCharType="begin"/>
      </w:r>
      <w:r>
        <w:instrText> HYPERLINK "http://www.garant.ru/products/ipo/prime/doc/70018446/" \l "7"</w:instrText>
      </w:r>
      <w:r>
        <w:fldChar w:fldCharType="separate"/>
      </w:r>
      <w:r>
        <w:rPr>
          <w:rStyle w:val="Style5"/>
          <w:rFonts w:eastAsia="Times New Roman" w:cs="Times New Roman" w:ascii="Times New Roman" w:hAnsi="Times New Roman"/>
        </w:rPr>
        <w:t>пешеходные зоны</w:t>
      </w:r>
      <w:r>
        <w:fldChar w:fldCharType="end"/>
      </w:r>
      <w:r>
        <w:rPr>
          <w:rFonts w:eastAsia="Times New Roman" w:cs="Times New Roman" w:ascii="Times New Roman" w:hAnsi="Times New Roman"/>
        </w:rPr>
        <w:t>, участки активно посещаемой общественной застройки, участки озеленения, расположенные в составе туристической деревни, примагистральных и многофункциональных зон, центров общекурортного и локального значения.</w:t>
      </w:r>
    </w:p>
    <w:p>
      <w:pPr>
        <w:pStyle w:val="Normal"/>
        <w:ind w:firstLine="567"/>
        <w:jc w:val="both"/>
        <w:rPr/>
      </w:pPr>
      <w:r>
        <w:rPr>
          <w:rFonts w:eastAsia="Times New Roman" w:cs="Times New Roman" w:ascii="Times New Roman" w:hAnsi="Times New Roman"/>
        </w:rPr>
        <w:t>Пешеходные коммуникации и пешеходные зоны, обеспечивают пешеходные связи и передвижения по территории туристической деревни.</w:t>
      </w:r>
    </w:p>
    <w:p>
      <w:pPr>
        <w:pStyle w:val="Normal"/>
        <w:ind w:firstLine="567"/>
        <w:jc w:val="both"/>
        <w:rPr/>
      </w:pPr>
      <w:r>
        <w:rPr>
          <w:rFonts w:eastAsia="Times New Roman" w:cs="Times New Roman" w:ascii="Times New Roman" w:hAnsi="Times New Roman"/>
        </w:rPr>
        <w:t>Участки общественной застройки с активным режимом посещения, - это учреждения торговли, спорта и другие подобные объекты общекурортного значения; они могут быть организованы с выделением приобъектной территории, либо без нее, в этом случае границы участка следует устанавливать совпадающими с внешним контуром подошвы застройки зданий и сооружений.</w:t>
      </w:r>
    </w:p>
    <w:p>
      <w:pPr>
        <w:pStyle w:val="Normal"/>
        <w:ind w:firstLine="567"/>
        <w:jc w:val="both"/>
        <w:rPr/>
      </w:pPr>
      <w:r>
        <w:rPr>
          <w:rFonts w:eastAsia="Times New Roman" w:cs="Times New Roman" w:ascii="Times New Roman" w:hAnsi="Times New Roman"/>
        </w:rPr>
        <w:t>Участки озеленения на территории общественных пространств ВТРК "Архыз" рекомендуется проектировать в виде цветников, газонов, одиночных, групповых, рядовых посадок, вертикальных, многоярусных, мобильных форм озеленения.</w:t>
      </w:r>
    </w:p>
    <w:p>
      <w:pPr>
        <w:pStyle w:val="Normal"/>
        <w:ind w:firstLine="567"/>
        <w:jc w:val="both"/>
        <w:rPr/>
      </w:pPr>
      <w:r>
        <w:rPr>
          <w:rFonts w:eastAsia="Times New Roman" w:cs="Times New Roman" w:ascii="Times New Roman" w:hAnsi="Times New Roman"/>
        </w:rPr>
        <w:t>2. Как правило, обязательный перечень элементов благоустройства на территории общественных пространств ВТРК "Архыз"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w:t>
      </w:r>
    </w:p>
    <w:p>
      <w:pPr>
        <w:pStyle w:val="Normal"/>
        <w:ind w:firstLine="567"/>
        <w:jc w:val="both"/>
        <w:rPr/>
      </w:pPr>
      <w:r>
        <w:rPr>
          <w:rFonts w:eastAsia="Times New Roman" w:cs="Times New Roman" w:ascii="Times New Roman" w:hAnsi="Times New Roman"/>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pPr>
        <w:pStyle w:val="Normal"/>
        <w:ind w:firstLine="567"/>
        <w:jc w:val="both"/>
        <w:rPr/>
      </w:pPr>
      <w:r>
        <w:rPr>
          <w:rFonts w:eastAsia="Times New Roman" w:cs="Times New Roman" w:ascii="Times New Roman" w:hAnsi="Times New Roman"/>
        </w:rPr>
        <w:t>Возможно на территории пешеходных зон и коммуникаций размещение средств наружной рекламы, некапитальных нестационарных сооружений мелкорозничной торговли, бытового обслуживания и питания, остановочных павильонов, туалетных кабин.</w:t>
      </w:r>
    </w:p>
    <w:p>
      <w:pPr>
        <w:pStyle w:val="Normal"/>
        <w:ind w:firstLine="567"/>
        <w:jc w:val="both"/>
        <w:rPr/>
      </w:pPr>
      <w:r>
        <w:rPr>
          <w:rFonts w:eastAsia="Times New Roman" w:cs="Times New Roman" w:ascii="Times New Roman" w:hAnsi="Times New Roman"/>
        </w:rPr>
        <w:t>Возможно на территории участков общественной застройки (при наличии приобъектных территорий) размещение ограждений и средств наружной рекламы.</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r>
        <w:br w:type="page"/>
      </w:r>
    </w:p>
    <w:p>
      <w:pPr>
        <w:pStyle w:val="3"/>
        <w:numPr>
          <w:ilvl w:val="0"/>
          <w:numId w:val="0"/>
        </w:numPr>
        <w:ind w:left="1080" w:hanging="360"/>
        <w:jc w:val="center"/>
        <w:rPr/>
      </w:pPr>
      <w:bookmarkStart w:id="297" w:name="_Toc424230693"/>
      <w:bookmarkEnd w:id="297"/>
      <w:r>
        <w:rPr>
          <w:rFonts w:eastAsia="Times New Roman" w:cs="Times New Roman"/>
        </w:rPr>
        <w:t>Статья 52. Участки и специализированные зоны общественной застройки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 xml:space="preserve">1. Участки общественной застройки (за исключением указанных в </w:t>
      </w:r>
      <w:r>
        <w:fldChar w:fldCharType="begin"/>
      </w:r>
      <w:r>
        <w:instrText> HYPERLINK "http://www.garant.ru/products/ipo/prime/doc/70018446/" \l "3212"</w:instrText>
      </w:r>
      <w:r>
        <w:fldChar w:fldCharType="separate"/>
      </w:r>
      <w:r>
        <w:rPr>
          <w:rStyle w:val="Style5"/>
          <w:rFonts w:eastAsia="Times New Roman" w:cs="Times New Roman" w:ascii="Times New Roman" w:hAnsi="Times New Roman"/>
        </w:rPr>
        <w:t>части</w:t>
      </w:r>
      <w:r>
        <w:fldChar w:fldCharType="end"/>
      </w:r>
      <w:r>
        <w:rPr>
          <w:rFonts w:eastAsia="Times New Roman" w:cs="Times New Roman" w:ascii="Times New Roman" w:hAnsi="Times New Roman"/>
        </w:rPr>
        <w:t xml:space="preserve"> 1 статьи 50 настоящих Правил) - это участки общественных учреждений с ограниченным или закрытым режимом посещения: органы власти и управления, пожарное депо и другие подобные объекты. Они могут быть организованы с выделением приобъектной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застройки, как правило, формируются в виде группы участков.</w:t>
      </w:r>
    </w:p>
    <w:p>
      <w:pPr>
        <w:pStyle w:val="Normal"/>
        <w:ind w:firstLine="567"/>
        <w:jc w:val="both"/>
        <w:rPr/>
      </w:pPr>
      <w:r>
        <w:rPr>
          <w:rFonts w:eastAsia="Times New Roman" w:cs="Times New Roman" w:ascii="Times New Roman" w:hAnsi="Times New Roman"/>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pPr>
        <w:pStyle w:val="Normal"/>
        <w:ind w:firstLine="567"/>
        <w:jc w:val="both"/>
        <w:rPr/>
      </w:pPr>
      <w:r>
        <w:rPr>
          <w:rFonts w:eastAsia="Times New Roman" w:cs="Times New Roman" w:ascii="Times New Roman" w:hAnsi="Times New Roman"/>
        </w:rPr>
        <w:t xml:space="preserve">2. Обязательный перечень элементов </w:t>
      </w:r>
      <w:r>
        <w:fldChar w:fldCharType="begin"/>
      </w:r>
      <w:r>
        <w:instrText> HYPERLINK "http://www.garant.ru/products/ipo/prime/doc/70018446/" \l "2131015"</w:instrText>
      </w:r>
      <w:r>
        <w:fldChar w:fldCharType="separate"/>
      </w:r>
      <w:r>
        <w:rPr>
          <w:rStyle w:val="Style5"/>
          <w:rFonts w:eastAsia="Times New Roman" w:cs="Times New Roman" w:ascii="Times New Roman" w:hAnsi="Times New Roman"/>
        </w:rPr>
        <w:t>благоустройства территории</w:t>
      </w:r>
      <w:r>
        <w:fldChar w:fldCharType="end"/>
      </w:r>
      <w:r>
        <w:rPr>
          <w:rFonts w:eastAsia="Times New Roman" w:cs="Times New Roman" w:ascii="Times New Roman" w:hAnsi="Times New Roman"/>
        </w:rPr>
        <w:t xml:space="preserve"> на участках общественной застройки (при наличии приобъектных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2"/>
        <w:numPr>
          <w:ilvl w:val="0"/>
          <w:numId w:val="0"/>
        </w:numPr>
        <w:ind w:firstLine="567"/>
        <w:jc w:val="both"/>
        <w:rPr/>
      </w:pPr>
      <w:bookmarkStart w:id="298" w:name="_Toc424230694"/>
      <w:bookmarkEnd w:id="298"/>
      <w:r>
        <w:rPr>
          <w:rFonts w:eastAsia="Times New Roman" w:cs="Times New Roman"/>
        </w:rPr>
        <w:t>Глава 12. Благоустройство на территориях гостиниц и других мест размещения</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299" w:name="_Toc424230695"/>
      <w:bookmarkEnd w:id="299"/>
      <w:r>
        <w:rPr>
          <w:rFonts w:eastAsia="Times New Roman" w:cs="Times New Roman"/>
        </w:rPr>
        <w:t>Статья 53. Общественные пространства</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1. Общественные пространства на территориях гостиниц рекомендуется формировать системой пешеходных коммуникаций, участков объектов обслуживания и озелененных территорий общего пользования.</w:t>
      </w:r>
    </w:p>
    <w:p>
      <w:pPr>
        <w:pStyle w:val="Normal"/>
        <w:ind w:firstLine="567"/>
        <w:jc w:val="both"/>
        <w:rPr/>
      </w:pPr>
      <w:r>
        <w:rPr>
          <w:rFonts w:eastAsia="Times New Roman" w:cs="Times New Roman" w:ascii="Times New Roman" w:hAnsi="Times New Roman"/>
        </w:rPr>
        <w:t>2. Объекты обслуживания гостиниц рекомендуется оборудовать площадками при входах. Для объектов обслуживания с большим количеством посетителей следует предусматривать устройство приобъектных автостоянок. На участках отделения милиции, пожарных депо, подстанций скорой помощи, объектов городского значения предусматриваются различные по высоте металлические ограждения.</w:t>
      </w:r>
    </w:p>
    <w:p>
      <w:pPr>
        <w:pStyle w:val="Normal"/>
        <w:ind w:firstLine="567"/>
        <w:jc w:val="both"/>
        <w:rPr/>
      </w:pPr>
      <w:r>
        <w:rPr>
          <w:rFonts w:eastAsia="Times New Roman" w:cs="Times New Roman" w:ascii="Times New Roman" w:hAnsi="Times New Roman"/>
        </w:rPr>
        <w:t>3. Как правило, обязательный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pPr>
        <w:pStyle w:val="Normal"/>
        <w:ind w:firstLine="567"/>
        <w:jc w:val="both"/>
        <w:rPr/>
      </w:pPr>
      <w:r>
        <w:rPr>
          <w:rFonts w:eastAsia="Times New Roman" w:cs="Times New Roman" w:ascii="Times New Roman" w:hAnsi="Times New Roman"/>
        </w:rPr>
        <w:t>Рекомендуется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pPr>
        <w:pStyle w:val="Normal"/>
        <w:ind w:firstLine="567"/>
        <w:jc w:val="both"/>
        <w:rPr/>
      </w:pPr>
      <w:r>
        <w:rPr>
          <w:rFonts w:eastAsia="Times New Roman" w:cs="Times New Roman" w:ascii="Times New Roman" w:hAnsi="Times New Roman"/>
        </w:rPr>
        <w:t>Возможно размещение средств наружной рекламы, некапитальных нестационарных сооружений.</w:t>
      </w:r>
    </w:p>
    <w:p>
      <w:pPr>
        <w:pStyle w:val="Normal"/>
        <w:ind w:firstLine="567"/>
        <w:jc w:val="both"/>
        <w:rPr/>
      </w:pPr>
      <w:r>
        <w:rPr>
          <w:rFonts w:eastAsia="Times New Roman" w:cs="Times New Roman" w:ascii="Times New Roman" w:hAnsi="Times New Roman"/>
        </w:rPr>
        <w:t>4. Озелененные территории общего пользования обычно формируются в виде единой системы озеленения территорий гостиниц.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застройки (спортивные, спортивно-игровые), объекты рекреации (скверы, бульвары, сады, парки).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00" w:name="_Toc424230696"/>
      <w:bookmarkEnd w:id="300"/>
      <w:r>
        <w:rPr>
          <w:rFonts w:eastAsia="Times New Roman" w:cs="Times New Roman"/>
        </w:rPr>
        <w:t>Статья 54. Участки гостиничной застройки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Проектирование благоустройства участков гостиничной застройки рекомендуется производить с учетом коллективного или индивидуального характера пользования территорией. Кроме того, необходимо учитывать особенности благоустройства участков гостиничной застройки при их размещении на территориях высокой плотности застройки, вдоль магистралей, на реконструируемых территориях.</w:t>
      </w:r>
    </w:p>
    <w:p>
      <w:pPr>
        <w:pStyle w:val="Normal"/>
        <w:ind w:firstLine="567"/>
        <w:jc w:val="both"/>
        <w:rPr/>
      </w:pPr>
      <w:r>
        <w:rPr>
          <w:rFonts w:eastAsia="Times New Roman" w:cs="Times New Roman" w:ascii="Times New Roman" w:hAnsi="Times New Roman"/>
        </w:rPr>
        <w:t>2. На территории участка гостиничной застройки с коллективным пользованием территорией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w:t>
      </w:r>
    </w:p>
    <w:p>
      <w:pPr>
        <w:pStyle w:val="Normal"/>
        <w:ind w:firstLine="567"/>
        <w:jc w:val="both"/>
        <w:rPr/>
      </w:pPr>
      <w:r>
        <w:rPr>
          <w:rFonts w:eastAsia="Times New Roman" w:cs="Times New Roman" w:ascii="Times New Roman" w:hAnsi="Times New Roman"/>
        </w:rPr>
        <w:t>3. Как правило, обязательный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w:t>
      </w:r>
      <w:r>
        <w:fldChar w:fldCharType="begin"/>
      </w:r>
      <w:r>
        <w:instrText> HYPERLINK "http://www.garant.ru/products/ipo/prime/doc/70018446/" \l "2012"</w:instrText>
      </w:r>
      <w:r>
        <w:fldChar w:fldCharType="separate"/>
      </w:r>
      <w:r>
        <w:rPr>
          <w:rStyle w:val="Style5"/>
          <w:rFonts w:eastAsia="Times New Roman" w:cs="Times New Roman" w:ascii="Times New Roman" w:hAnsi="Times New Roman"/>
        </w:rPr>
        <w:t>статья</w:t>
      </w:r>
      <w:r>
        <w:fldChar w:fldCharType="end"/>
      </w:r>
      <w:r>
        <w:rPr>
          <w:rFonts w:eastAsia="Times New Roman" w:cs="Times New Roman" w:ascii="Times New Roman" w:hAnsi="Times New Roman"/>
        </w:rPr>
        <w:t xml:space="preserve"> 46 настоящих Правил), элементы сопряжения поверхностей, оборудование площадок, озеленение, осветительное оборудование.</w:t>
      </w:r>
    </w:p>
    <w:p>
      <w:pPr>
        <w:pStyle w:val="Normal"/>
        <w:ind w:firstLine="567"/>
        <w:jc w:val="both"/>
        <w:rPr/>
      </w:pPr>
      <w:r>
        <w:rPr>
          <w:rFonts w:eastAsia="Times New Roman" w:cs="Times New Roman" w:ascii="Times New Roman" w:hAnsi="Times New Roman"/>
        </w:rPr>
        <w:t>Озеленение участка гостиниц рекомендуется формировать между отмосткой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pPr>
        <w:pStyle w:val="Normal"/>
        <w:ind w:firstLine="567"/>
        <w:jc w:val="both"/>
        <w:rPr/>
      </w:pPr>
      <w:r>
        <w:rPr>
          <w:rFonts w:eastAsia="Times New Roman" w:cs="Times New Roman" w:ascii="Times New Roman" w:hAnsi="Times New Roman"/>
        </w:rPr>
        <w:t>Возможно ограждение участка гостиничной застройки, если оно не противоречит условиям размещения гостиничных участков вдоль магистральных улиц согласно части 4 данной статьи.</w:t>
      </w:r>
    </w:p>
    <w:p>
      <w:pPr>
        <w:pStyle w:val="Normal"/>
        <w:ind w:firstLine="567"/>
        <w:jc w:val="both"/>
        <w:rPr/>
      </w:pPr>
      <w:r>
        <w:rPr>
          <w:rFonts w:eastAsia="Times New Roman" w:cs="Times New Roman" w:ascii="Times New Roman" w:hAnsi="Times New Roman"/>
        </w:rPr>
        <w:t>4. Благоустройство гостиничных участков, расположенных на территориях высокой плотности застройки, вдоль магистралей, на реконструируемых территориях рекомендуется проектировать с учетом градостроительных условий и требований их размещения.</w:t>
      </w:r>
    </w:p>
    <w:p>
      <w:pPr>
        <w:pStyle w:val="Normal"/>
        <w:ind w:firstLine="567"/>
        <w:jc w:val="both"/>
        <w:rPr/>
      </w:pPr>
      <w:r>
        <w:rPr>
          <w:rFonts w:eastAsia="Times New Roman" w:cs="Times New Roman" w:ascii="Times New Roman" w:hAnsi="Times New Roman"/>
        </w:rPr>
        <w:t>На территориях охранных зон памятников проектирование благоустройства рекомендуется вести в соответствии с режимами зон охраны и типологическими характеристиками застройки.</w:t>
      </w:r>
    </w:p>
    <w:p>
      <w:pPr>
        <w:pStyle w:val="Normal"/>
        <w:ind w:firstLine="567"/>
        <w:jc w:val="both"/>
        <w:rPr/>
      </w:pPr>
      <w:r>
        <w:rPr>
          <w:rFonts w:eastAsia="Times New Roman" w:cs="Times New Roman" w:ascii="Times New Roman" w:hAnsi="Times New Roman"/>
        </w:rPr>
        <w:t>На гостиничных участках с высокой плотностью застройки (более 20 тыс. кв.м/га) рекомендуется применять компенсирующие приемы благоустройства, при которых нормативные показатели территории участка обеспечиваются за счет:</w:t>
      </w:r>
    </w:p>
    <w:p>
      <w:pPr>
        <w:pStyle w:val="Normal"/>
        <w:ind w:firstLine="567"/>
        <w:jc w:val="both"/>
        <w:rPr/>
      </w:pPr>
      <w:r>
        <w:rPr>
          <w:rFonts w:eastAsia="Times New Roman" w:cs="Times New Roman" w:ascii="Times New Roman" w:hAnsi="Times New Roman"/>
        </w:rPr>
        <w:t>- перемещения ряда функций, обычно реализуемых на территории участка гостиничной застройки (отдых взрослых, спортивные и детские игры, гостевые стоянки), и элементов благоустройства (озеленение) в состав застройки.</w:t>
      </w:r>
    </w:p>
    <w:p>
      <w:pPr>
        <w:pStyle w:val="Normal"/>
        <w:ind w:firstLine="567"/>
        <w:jc w:val="both"/>
        <w:rPr/>
      </w:pPr>
      <w:r>
        <w:rPr>
          <w:rFonts w:eastAsia="Times New Roman" w:cs="Times New Roman" w:ascii="Times New Roman" w:hAnsi="Times New Roman"/>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pPr>
        <w:pStyle w:val="Normal"/>
        <w:ind w:firstLine="567"/>
        <w:jc w:val="both"/>
        <w:rPr/>
      </w:pPr>
      <w:r>
        <w:rPr>
          <w:rFonts w:eastAsia="Times New Roman" w:cs="Times New Roman" w:ascii="Times New Roman" w:hAnsi="Times New Roman"/>
        </w:rPr>
        <w:t>При размещении гостиничных участков вдоль магистральных улиц рекомендуется не допускать со стороны улицы их сплошное ограждение и размещение площадок (детских, спортивных, для установки мусоросборников).</w:t>
      </w:r>
    </w:p>
    <w:p>
      <w:pPr>
        <w:pStyle w:val="Normal"/>
        <w:ind w:firstLine="567"/>
        <w:jc w:val="both"/>
        <w:rPr/>
      </w:pPr>
      <w:r>
        <w:rPr>
          <w:rFonts w:eastAsia="Times New Roman" w:cs="Times New Roman" w:ascii="Times New Roman" w:hAnsi="Times New Roman"/>
        </w:rPr>
        <w:t>На реконструируемых территориях участков гостиничной застройки рекомендуется предусматривать удаление больных и ослабленных деревьев, защиту и декоративное оформление здоровых деревьев, ликвидацию неплановой застройки, рекомендуется выполнять замену морально и физически устаревших элементов благоустройства.</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r>
        <w:br w:type="page"/>
      </w:r>
    </w:p>
    <w:p>
      <w:pPr>
        <w:pStyle w:val="3"/>
        <w:numPr>
          <w:ilvl w:val="0"/>
          <w:numId w:val="0"/>
        </w:numPr>
        <w:ind w:left="1080" w:hanging="360"/>
        <w:jc w:val="center"/>
        <w:rPr/>
      </w:pPr>
      <w:bookmarkStart w:id="301" w:name="_Toc424230697"/>
      <w:bookmarkEnd w:id="301"/>
      <w:r>
        <w:rPr>
          <w:rFonts w:eastAsia="Times New Roman" w:cs="Times New Roman"/>
        </w:rPr>
        <w:t>Статья 55. Участки детских центров</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На территории участков детских центров рекомендуется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озелененные и другие территории и сооружения.</w:t>
      </w:r>
    </w:p>
    <w:p>
      <w:pPr>
        <w:pStyle w:val="Normal"/>
        <w:ind w:firstLine="567"/>
        <w:jc w:val="both"/>
        <w:rPr/>
      </w:pPr>
      <w:r>
        <w:rPr>
          <w:rFonts w:eastAsia="Times New Roman" w:cs="Times New Roman" w:ascii="Times New Roman" w:hAnsi="Times New Roman"/>
        </w:rPr>
        <w:t>2. Обязательный перечень элементов благоустройства на территории детского центра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pPr>
        <w:pStyle w:val="Normal"/>
        <w:ind w:firstLine="567"/>
        <w:jc w:val="both"/>
        <w:rPr/>
      </w:pPr>
      <w:r>
        <w:rPr>
          <w:rFonts w:eastAsia="Times New Roman" w:cs="Times New Roman" w:ascii="Times New Roman" w:hAnsi="Times New Roman"/>
        </w:rPr>
        <w:t>В качестве твердых видов покрытий рекомендуется применение цементобетона и плиточного мощения.</w:t>
      </w:r>
    </w:p>
    <w:p>
      <w:pPr>
        <w:pStyle w:val="Normal"/>
        <w:ind w:firstLine="567"/>
        <w:jc w:val="both"/>
        <w:rPr/>
      </w:pPr>
      <w:r>
        <w:rPr>
          <w:rFonts w:eastAsia="Times New Roman" w:cs="Times New Roman" w:ascii="Times New Roman" w:hAnsi="Times New Roman"/>
        </w:rPr>
        <w:t>При озеленении территории детских центров рекомендуется не допускать применение растений с ядовитыми плодами.</w:t>
      </w:r>
    </w:p>
    <w:p>
      <w:pPr>
        <w:pStyle w:val="Normal"/>
        <w:ind w:firstLine="567"/>
        <w:jc w:val="both"/>
        <w:rPr/>
      </w:pPr>
      <w:r>
        <w:rPr>
          <w:rFonts w:eastAsia="Times New Roman" w:cs="Times New Roman" w:ascii="Times New Roman" w:hAnsi="Times New Roman"/>
        </w:rPr>
        <w:t>3. При проектировании инженерных коммуникаций квартала рекомендуется не допускать их трассировку через территорию детского центра, уже существующие сети при реконструкции территории рекомендуется переложить. Собственные инженерные сети детского центра рекомендуется проектировать по кратчайшим расстояниям от подводящих инженерных сетей до здания, исключая прохождение под игровыми и спортивными площадками. Рекомендуется не допускать устройство смотровых колодцев на территориях площадок, проездов, проходов. Места их размещения на других территориях в границах участка рекомендуется огородить или выделить предупреждающими об опасности знаками.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02" w:name="_Toc424230698"/>
      <w:bookmarkEnd w:id="302"/>
      <w:r>
        <w:rPr>
          <w:rFonts w:eastAsia="Times New Roman" w:cs="Times New Roman"/>
        </w:rPr>
        <w:t>Статья 56. Участки длительного и кратковременного хранения автотранспортных средств</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1. На участке длительного и кратковременного хранения автотранспортных средств рекомендуется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рекомендуется устанавливать, не пересекающимися с основными направлениями пешеходных путей. Рекомендуется не допускать организации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рекомендуется изолировать от остальной территории полосой зеленых насаждений шириной не менее 3 м. Въезды и выезды, как правило, должны иметь закругления бортов тротуаров и газонов радиусом не менее 8 м.</w:t>
      </w:r>
    </w:p>
    <w:p>
      <w:pPr>
        <w:pStyle w:val="Normal"/>
        <w:ind w:firstLine="567"/>
        <w:jc w:val="both"/>
        <w:rPr/>
      </w:pPr>
      <w:r>
        <w:rPr>
          <w:rFonts w:eastAsia="Times New Roman" w:cs="Times New Roman" w:ascii="Times New Roman" w:hAnsi="Times New Roman"/>
        </w:rPr>
        <w:t xml:space="preserve">2. Как правило, обязательный перечень </w:t>
      </w:r>
      <w:r>
        <w:fldChar w:fldCharType="begin"/>
      </w:r>
      <w:r>
        <w:instrText> HYPERLINK "http://www.garant.ru/products/ipo/prime/doc/70018446/" \l "2131016"</w:instrText>
      </w:r>
      <w:r>
        <w:fldChar w:fldCharType="separate"/>
      </w:r>
      <w:r>
        <w:rPr>
          <w:rStyle w:val="Style5"/>
          <w:rFonts w:eastAsia="Times New Roman" w:cs="Times New Roman" w:ascii="Times New Roman" w:hAnsi="Times New Roman"/>
        </w:rPr>
        <w:t>элементов благоустройства</w:t>
      </w:r>
      <w:r>
        <w:fldChar w:fldCharType="end"/>
      </w:r>
      <w:r>
        <w:rPr>
          <w:rFonts w:eastAsia="Times New Roman" w:cs="Times New Roman" w:ascii="Times New Roman" w:hAnsi="Times New Roman"/>
        </w:rPr>
        <w:t xml:space="preserve">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pPr>
        <w:pStyle w:val="Normal"/>
        <w:ind w:firstLine="567"/>
        <w:jc w:val="both"/>
        <w:rPr/>
      </w:pPr>
      <w:r>
        <w:rPr>
          <w:rFonts w:eastAsia="Times New Roman" w:cs="Times New Roman" w:ascii="Times New Roman" w:hAnsi="Times New Roman"/>
        </w:rPr>
        <w:t>На пешеходных дорожках рекомендуется предусматривать съезд - бордюрный пандус - на уровень проезда (не менее одного на участок).</w:t>
      </w:r>
    </w:p>
    <w:p>
      <w:pPr>
        <w:pStyle w:val="Normal"/>
        <w:ind w:firstLine="567"/>
        <w:jc w:val="both"/>
        <w:rPr/>
      </w:pPr>
      <w:r>
        <w:rPr>
          <w:rFonts w:eastAsia="Times New Roman" w:cs="Times New Roman" w:ascii="Times New Roman" w:hAnsi="Times New Roman"/>
        </w:rPr>
        <w:t>Рекомендуется формировать посадки густого высокорастущего кустарника с высокой степенью фитонцидности и посадки деревьев вдоль границ участка.</w:t>
      </w:r>
    </w:p>
    <w:p>
      <w:pPr>
        <w:pStyle w:val="Normal"/>
        <w:ind w:firstLine="567"/>
        <w:jc w:val="both"/>
        <w:rPr/>
      </w:pPr>
      <w:r>
        <w:rPr>
          <w:rFonts w:eastAsia="Times New Roman" w:cs="Times New Roman" w:ascii="Times New Roman" w:hAnsi="Times New Roman"/>
        </w:rPr>
        <w:t xml:space="preserve">3. На сооружениях для длительного и кратковременного хранения автотранспортных средств с плоской и малоуклонная кровлей, размещенного в общественной застройке, может предусматриваться крышное озеленение. На </w:t>
      </w:r>
      <w:r>
        <w:fldChar w:fldCharType="begin"/>
      </w:r>
      <w:r>
        <w:instrText> HYPERLINK "http://www.garant.ru/products/ipo/prime/doc/70018446/" \l "5"</w:instrText>
      </w:r>
      <w:r>
        <w:fldChar w:fldCharType="separate"/>
      </w:r>
      <w:r>
        <w:rPr>
          <w:rStyle w:val="Style5"/>
          <w:rFonts w:eastAsia="Times New Roman" w:cs="Times New Roman" w:ascii="Times New Roman" w:hAnsi="Times New Roman"/>
        </w:rPr>
        <w:t>крышном озеленении</w:t>
      </w:r>
      <w:r>
        <w:fldChar w:fldCharType="end"/>
      </w:r>
      <w:r>
        <w:rPr>
          <w:rFonts w:eastAsia="Times New Roman" w:cs="Times New Roman" w:ascii="Times New Roman" w:hAnsi="Times New Roman"/>
        </w:rPr>
        <w:t xml:space="preserve"> рекомендуется предусматривать цветочное оформление, площадь которого должна составлять не менее 10 % от площади крышного озеленения, посадку деревьев и кустарников с плоскостной корневой системой.</w:t>
      </w:r>
    </w:p>
    <w:p>
      <w:pPr>
        <w:pStyle w:val="Normal"/>
        <w:ind w:firstLine="567"/>
        <w:jc w:val="both"/>
        <w:rPr/>
      </w:pPr>
      <w:r>
        <w:rPr>
          <w:rFonts w:eastAsia="Times New Roman" w:cs="Times New Roman" w:ascii="Times New Roman" w:hAnsi="Times New Roman"/>
        </w:rPr>
        <w:t>4. Благоустройство участка территории, предназначенного для хранения автомобилей в некапитальных нестационарных гаражных сооружениях, рекомендуется представлять твердым видом покрытия дорожек и проездов, осветительным оборудованием. Гаражные сооружения или отсеки рекомендуется предусматривать унифицированными, с элементами озеленения и размещением ограждений.</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2"/>
        <w:numPr>
          <w:ilvl w:val="0"/>
          <w:numId w:val="0"/>
        </w:numPr>
        <w:ind w:left="360" w:hanging="360"/>
        <w:jc w:val="both"/>
        <w:rPr/>
      </w:pPr>
      <w:bookmarkStart w:id="303" w:name="_Toc424230699"/>
      <w:bookmarkEnd w:id="303"/>
      <w:r>
        <w:rPr>
          <w:rFonts w:eastAsia="Times New Roman" w:cs="Times New Roman"/>
        </w:rPr>
        <w:t>Глава 13. Благоустройство на территориях рекреационного назначения</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04" w:name="_Toc424230700"/>
      <w:bookmarkEnd w:id="304"/>
      <w:r>
        <w:rPr>
          <w:rFonts w:eastAsia="Times New Roman" w:cs="Times New Roman"/>
        </w:rPr>
        <w:t>Статья 57. Общие положения благоустройства на территориях рекреационного назначения</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Объектами нормирования благоустройства на территориях рекреационного назначения обычно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pPr>
        <w:pStyle w:val="Normal"/>
        <w:ind w:firstLine="567"/>
        <w:jc w:val="both"/>
        <w:rPr/>
      </w:pPr>
      <w:r>
        <w:rPr>
          <w:rFonts w:eastAsia="Times New Roman" w:cs="Times New Roman" w:ascii="Times New Roman" w:hAnsi="Times New Roman"/>
        </w:rPr>
        <w:t>2. Благоустройство памятников садово-паркового искусства, истории и архитектуры, как правило,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рекомендуется проектировать в соответствии с историко-культурным регламентом территории, на которой он расположен (при его наличии).</w:t>
      </w:r>
    </w:p>
    <w:p>
      <w:pPr>
        <w:pStyle w:val="Normal"/>
        <w:ind w:firstLine="567"/>
        <w:jc w:val="both"/>
        <w:rPr/>
      </w:pPr>
      <w:r>
        <w:rPr>
          <w:rFonts w:eastAsia="Times New Roman" w:cs="Times New Roman" w:ascii="Times New Roman" w:hAnsi="Times New Roman"/>
        </w:rPr>
        <w:t>3. Планировочная структура объектов рекреации, как правило, должна соответствовать градостроительным, функциональным и природным особенностям территории. При проектировании благоустройства рекомендуется обеспечивать приоритет природоохранных факторов: для крупных объектов рекреации - не нарушение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w:t>
      </w:r>
    </w:p>
    <w:p>
      <w:pPr>
        <w:pStyle w:val="Normal"/>
        <w:ind w:firstLine="567"/>
        <w:jc w:val="both"/>
        <w:rPr/>
      </w:pPr>
      <w:r>
        <w:rPr>
          <w:rFonts w:eastAsia="Times New Roman" w:cs="Times New Roman" w:ascii="Times New Roman" w:hAnsi="Times New Roman"/>
        </w:rPr>
        <w:t>4. При реконструкции объектов рекреации рекомендуется предусматривать:</w:t>
      </w:r>
    </w:p>
    <w:p>
      <w:pPr>
        <w:pStyle w:val="Normal"/>
        <w:ind w:firstLine="567"/>
        <w:jc w:val="both"/>
        <w:rPr/>
      </w:pPr>
      <w:r>
        <w:rPr>
          <w:rFonts w:eastAsia="Times New Roman" w:cs="Times New Roman" w:ascii="Times New Roman" w:hAnsi="Times New Roman"/>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pPr>
        <w:pStyle w:val="Normal"/>
        <w:ind w:firstLine="567"/>
        <w:jc w:val="both"/>
        <w:rPr/>
      </w:pPr>
      <w:r>
        <w:rPr>
          <w:rFonts w:eastAsia="Times New Roman" w:cs="Times New Roman" w:ascii="Times New Roman" w:hAnsi="Times New Roman"/>
        </w:rPr>
        <w:t>- для парков и садов: реконструкция планировочной структуры (например, изменение плотности дорожно-тропиночной сети), разреживание участков с повышенной плотностью насаждений, удаление больных, старых, недекоративньгх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pPr>
        <w:pStyle w:val="Normal"/>
        <w:ind w:firstLine="567"/>
        <w:jc w:val="both"/>
        <w:rPr/>
      </w:pPr>
      <w:r>
        <w:rPr>
          <w:rFonts w:eastAsia="Times New Roman" w:cs="Times New Roman" w:ascii="Times New Roman" w:hAnsi="Times New Roman"/>
        </w:rPr>
        <w:t>- для бульваров и скверов: формирование групп и куртин со сложной вертикальной структурой, удаление больных, старых и недекоративных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pPr>
        <w:pStyle w:val="Normal"/>
        <w:ind w:firstLine="567"/>
        <w:jc w:val="both"/>
        <w:rPr/>
      </w:pPr>
      <w:r>
        <w:rPr>
          <w:rFonts w:eastAsia="Times New Roman" w:cs="Times New Roman" w:ascii="Times New Roman" w:hAnsi="Times New Roman"/>
        </w:rPr>
        <w:t>5. Проектирование инженерных коммуникаций на территориях рекреационного назначения рекомендуется вести с учетом экологических особенностей территории, преимущественно в проходных коллекторах или в обход объекта рекреации.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05" w:name="_Toc424230701"/>
      <w:bookmarkEnd w:id="305"/>
      <w:r>
        <w:rPr>
          <w:rFonts w:eastAsia="Times New Roman" w:cs="Times New Roman"/>
        </w:rPr>
        <w:t>Статья 58. Зоны отдыха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Зоны отдыха - территории, предназначенные и обустроенные для организации активного массового отдыха, купания и рекреации.</w:t>
      </w:r>
    </w:p>
    <w:p>
      <w:pPr>
        <w:pStyle w:val="Normal"/>
        <w:ind w:firstLine="567"/>
        <w:jc w:val="both"/>
        <w:rPr/>
      </w:pPr>
      <w:r>
        <w:rPr>
          <w:rFonts w:eastAsia="Times New Roman" w:cs="Times New Roman" w:ascii="Times New Roman" w:hAnsi="Times New Roman"/>
        </w:rPr>
        <w:t>2. 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pPr>
        <w:pStyle w:val="Normal"/>
        <w:ind w:firstLine="567"/>
        <w:jc w:val="both"/>
        <w:rPr/>
      </w:pPr>
      <w:r>
        <w:rPr>
          <w:rFonts w:eastAsia="Times New Roman" w:cs="Times New Roman" w:ascii="Times New Roman" w:hAnsi="Times New Roman"/>
        </w:rPr>
        <w:t>3. 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обычно располагают рядом со спасательной станцией, и оснащают надписью "Медпункт"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рекомендуется устанавливать площадью не менее 12 кв.м, имеющим естественное и искусственное освещение, водопровод и туалет.</w:t>
      </w:r>
    </w:p>
    <w:p>
      <w:pPr>
        <w:pStyle w:val="Normal"/>
        <w:ind w:firstLine="567"/>
        <w:jc w:val="both"/>
        <w:rPr/>
      </w:pPr>
      <w:r>
        <w:rPr>
          <w:rFonts w:eastAsia="Times New Roman" w:cs="Times New Roman" w:ascii="Times New Roman" w:hAnsi="Times New Roman"/>
        </w:rPr>
        <w:t>4. Обязательный 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pPr>
        <w:pStyle w:val="Normal"/>
        <w:ind w:firstLine="567"/>
        <w:jc w:val="both"/>
        <w:rPr/>
      </w:pPr>
      <w:r>
        <w:rPr>
          <w:rFonts w:eastAsia="Times New Roman" w:cs="Times New Roman" w:ascii="Times New Roman" w:hAnsi="Times New Roman"/>
        </w:rPr>
        <w:t>При проектировании озеленения рекомендуется обеспечивать:</w:t>
      </w:r>
    </w:p>
    <w:p>
      <w:pPr>
        <w:pStyle w:val="Normal"/>
        <w:ind w:firstLine="567"/>
        <w:jc w:val="both"/>
        <w:rPr/>
      </w:pPr>
      <w:r>
        <w:rPr>
          <w:rFonts w:eastAsia="Times New Roman" w:cs="Times New Roman" w:ascii="Times New Roman" w:hAnsi="Times New Roman"/>
        </w:rPr>
        <w:t>- сохранение травяного покрова, древесно-кустарниковой и прибрежной растительности не менее, чем на 80 % общей площади зоны отдыха;</w:t>
      </w:r>
    </w:p>
    <w:p>
      <w:pPr>
        <w:pStyle w:val="Normal"/>
        <w:ind w:firstLine="567"/>
        <w:jc w:val="both"/>
        <w:rPr/>
      </w:pPr>
      <w:r>
        <w:rPr>
          <w:rFonts w:eastAsia="Times New Roman" w:cs="Times New Roman" w:ascii="Times New Roman" w:hAnsi="Times New Roman"/>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w:t>
      </w:r>
    </w:p>
    <w:p>
      <w:pPr>
        <w:pStyle w:val="Normal"/>
        <w:ind w:firstLine="567"/>
        <w:jc w:val="both"/>
        <w:rPr/>
      </w:pPr>
      <w:r>
        <w:rPr>
          <w:rFonts w:eastAsia="Times New Roman" w:cs="Times New Roman" w:ascii="Times New Roman" w:hAnsi="Times New Roman"/>
        </w:rPr>
        <w:t>- недопущение использования территории зоны отдыха для иных целей (выгуливания собак, устройства игровых городков, аттракционов).</w:t>
      </w:r>
    </w:p>
    <w:p>
      <w:pPr>
        <w:pStyle w:val="Normal"/>
        <w:ind w:firstLine="567"/>
        <w:jc w:val="both"/>
        <w:rPr/>
      </w:pPr>
      <w:r>
        <w:rPr>
          <w:rFonts w:eastAsia="Times New Roman" w:cs="Times New Roman" w:ascii="Times New Roman" w:hAnsi="Times New Roman"/>
        </w:rPr>
        <w:t>Возможно размещение ограждения, уличного технического оборудования (торговые тележки "вода", "мороженое").</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06" w:name="_Toc424230702"/>
      <w:bookmarkEnd w:id="306"/>
      <w:r>
        <w:rPr>
          <w:rFonts w:eastAsia="Times New Roman" w:cs="Times New Roman"/>
        </w:rPr>
        <w:t>Статья 59. Парки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На территории ВТРК "Архыз" проектируются следующие виды парков: многофункциональные, специализированные, парки туристических деревень. Проектирование благоустройства парка зависит от его функционального назначения. На территории парка более 10 га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pPr>
        <w:pStyle w:val="Normal"/>
        <w:ind w:firstLine="567"/>
        <w:jc w:val="both"/>
        <w:rPr/>
      </w:pPr>
      <w:r>
        <w:rPr>
          <w:rFonts w:eastAsia="Times New Roman" w:cs="Times New Roman" w:ascii="Times New Roman" w:hAnsi="Times New Roman"/>
        </w:rPr>
        <w:t>2. Многофункциональный парк обычно предназначен для периодического массового отдыха, развлечения, активного и тихого отдыха, устройства аттракционов для взрослых и детей.</w:t>
      </w:r>
    </w:p>
    <w:p>
      <w:pPr>
        <w:pStyle w:val="Normal"/>
        <w:ind w:firstLine="567"/>
        <w:jc w:val="both"/>
        <w:rPr/>
      </w:pPr>
      <w:r>
        <w:rPr>
          <w:rFonts w:eastAsia="Times New Roman" w:cs="Times New Roman" w:ascii="Times New Roman" w:hAnsi="Times New Roman"/>
        </w:rPr>
        <w:t>3. На территории многофункционального парка рекомендуется предусматривать: систему аллей, дорожек и площадок, парковые сооружения (аттракционы, беседки, павильоны, туалеты). Мероприятия благоустройства и плотность дорожек в различных зонах парка должны соответствовать допустимой рекреационной нагрузке (</w:t>
      </w:r>
      <w:r>
        <w:fldChar w:fldCharType="begin"/>
      </w:r>
      <w:r>
        <w:instrText> HYPERLINK "http://www.garant.ru/products/ipo/prime/doc/70018446/" \l "21010"</w:instrText>
      </w:r>
      <w:r>
        <w:fldChar w:fldCharType="separate"/>
      </w:r>
      <w:r>
        <w:rPr>
          <w:rStyle w:val="Style5"/>
          <w:rFonts w:eastAsia="Times New Roman" w:cs="Times New Roman" w:ascii="Times New Roman" w:hAnsi="Times New Roman"/>
        </w:rPr>
        <w:t>таблицы 10</w:t>
      </w:r>
      <w:r>
        <w:fldChar w:fldCharType="end"/>
      </w:r>
      <w:r>
        <w:rPr>
          <w:rFonts w:eastAsia="Times New Roman" w:cs="Times New Roman" w:ascii="Times New Roman" w:hAnsi="Times New Roman"/>
        </w:rPr>
        <w:t xml:space="preserve">, </w:t>
      </w:r>
      <w:r>
        <w:fldChar w:fldCharType="begin"/>
      </w:r>
      <w:r>
        <w:instrText> HYPERLINK "http://www.garant.ru/products/ipo/prime/doc/70018446/" \l "21011"</w:instrText>
      </w:r>
      <w:r>
        <w:fldChar w:fldCharType="separate"/>
      </w:r>
      <w:r>
        <w:rPr>
          <w:rStyle w:val="Style5"/>
          <w:rFonts w:eastAsia="Times New Roman" w:cs="Times New Roman" w:ascii="Times New Roman" w:hAnsi="Times New Roman"/>
        </w:rPr>
        <w:t>11</w:t>
      </w:r>
      <w:r>
        <w:fldChar w:fldCharType="end"/>
      </w:r>
      <w:r>
        <w:rPr>
          <w:rFonts w:eastAsia="Times New Roman" w:cs="Times New Roman" w:ascii="Times New Roman" w:hAnsi="Times New Roman"/>
        </w:rPr>
        <w:t xml:space="preserve"> Приложения № 2). Назначение и размеры площадок, вместимость парковых сооружений рекомендуется проектировать с учетом </w:t>
      </w:r>
      <w:r>
        <w:fldChar w:fldCharType="begin"/>
      </w:r>
      <w:r>
        <w:instrText> HYPERLINK "http://www.garant.ru/products/ipo/prime/doc/70018446/" \l "5000"</w:instrText>
      </w:r>
      <w:r>
        <w:fldChar w:fldCharType="separate"/>
      </w:r>
      <w:r>
        <w:rPr>
          <w:rStyle w:val="Style5"/>
          <w:rFonts w:eastAsia="Times New Roman" w:cs="Times New Roman" w:ascii="Times New Roman" w:hAnsi="Times New Roman"/>
        </w:rPr>
        <w:t>Приложения 5</w:t>
      </w:r>
      <w:r>
        <w:fldChar w:fldCharType="end"/>
      </w:r>
      <w:r>
        <w:rPr>
          <w:rFonts w:eastAsia="Times New Roman" w:cs="Times New Roman" w:ascii="Times New Roman" w:hAnsi="Times New Roman"/>
        </w:rPr>
        <w:t>.</w:t>
      </w:r>
    </w:p>
    <w:p>
      <w:pPr>
        <w:pStyle w:val="Normal"/>
        <w:ind w:firstLine="567"/>
        <w:jc w:val="both"/>
        <w:rPr/>
      </w:pPr>
      <w:r>
        <w:rPr>
          <w:rFonts w:eastAsia="Times New Roman" w:cs="Times New Roman" w:ascii="Times New Roman" w:hAnsi="Times New Roman"/>
        </w:rPr>
        <w:t>4. Как правило, 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техническое оборудование (тележки "вода", "мороженое"), осветительное оборудование, оборудование архитектурно-декоративного, освещения, носители информации о зоне парка или о парке в целом.</w:t>
      </w:r>
    </w:p>
    <w:p>
      <w:pPr>
        <w:pStyle w:val="Normal"/>
        <w:ind w:firstLine="567"/>
        <w:jc w:val="both"/>
        <w:rPr/>
      </w:pPr>
      <w:r>
        <w:rPr>
          <w:rFonts w:eastAsia="Times New Roman" w:cs="Times New Roman" w:ascii="Times New Roman" w:hAnsi="Times New Roman"/>
        </w:rPr>
        <w:t>Рекомендуется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pPr>
        <w:pStyle w:val="Normal"/>
        <w:ind w:firstLine="567"/>
        <w:jc w:val="both"/>
        <w:rPr/>
      </w:pPr>
      <w:r>
        <w:rPr>
          <w:rFonts w:eastAsia="Times New Roman" w:cs="Times New Roman" w:ascii="Times New Roman" w:hAnsi="Times New Roman"/>
        </w:rPr>
        <w:t>Возможно размещение некапитальных нестационарных сооружений мелкорозничной торговли и питания, туалетных кабин.</w:t>
      </w:r>
    </w:p>
    <w:p>
      <w:pPr>
        <w:pStyle w:val="Normal"/>
        <w:ind w:firstLine="567"/>
        <w:jc w:val="both"/>
        <w:rPr/>
      </w:pPr>
      <w:r>
        <w:rPr>
          <w:rFonts w:eastAsia="Times New Roman" w:cs="Times New Roman" w:ascii="Times New Roman" w:hAnsi="Times New Roman"/>
        </w:rPr>
        <w:t>5. Специализированные парки муниципального образования 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pPr>
        <w:pStyle w:val="Normal"/>
        <w:ind w:firstLine="567"/>
        <w:jc w:val="both"/>
        <w:rPr/>
      </w:pPr>
      <w:r>
        <w:rPr>
          <w:rFonts w:eastAsia="Times New Roman" w:cs="Times New Roman" w:ascii="Times New Roman" w:hAnsi="Times New Roman"/>
        </w:rPr>
        <w:t>6. Как правило, 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pPr>
        <w:pStyle w:val="Normal"/>
        <w:ind w:firstLine="567"/>
        <w:jc w:val="both"/>
        <w:rPr/>
      </w:pPr>
      <w:r>
        <w:rPr>
          <w:rFonts w:eastAsia="Times New Roman" w:cs="Times New Roman" w:ascii="Times New Roman" w:hAnsi="Times New Roman"/>
        </w:rPr>
        <w:t>7. Парк туристической деревни обычно предназначен для организации активного и тихого отдыха посетителей туристической деревни.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детские спортивно-игровые комплексы.</w:t>
      </w:r>
    </w:p>
    <w:p>
      <w:pPr>
        <w:pStyle w:val="Normal"/>
        <w:ind w:firstLine="567"/>
        <w:jc w:val="both"/>
        <w:rPr/>
      </w:pPr>
      <w:r>
        <w:rPr>
          <w:rFonts w:eastAsia="Times New Roman" w:cs="Times New Roman" w:ascii="Times New Roman" w:hAnsi="Times New Roman"/>
        </w:rPr>
        <w:t>8. Обязательный перечень элементов благоустройства на территории парка туристической деревни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pPr>
        <w:pStyle w:val="Normal"/>
        <w:ind w:firstLine="567"/>
        <w:jc w:val="both"/>
        <w:rPr/>
      </w:pPr>
      <w:r>
        <w:rPr>
          <w:rFonts w:eastAsia="Times New Roman" w:cs="Times New Roman" w:ascii="Times New Roman" w:hAnsi="Times New Roman"/>
        </w:rPr>
        <w:t>При озеленении парка туристической деревни рекомендуется предусматривать цветочное оформление с использованием видов растений, характерных для данной климатической зоны.</w:t>
      </w:r>
    </w:p>
    <w:p>
      <w:pPr>
        <w:pStyle w:val="Normal"/>
        <w:ind w:firstLine="567"/>
        <w:jc w:val="both"/>
        <w:rPr/>
      </w:pPr>
      <w:r>
        <w:rPr>
          <w:rFonts w:eastAsia="Times New Roman" w:cs="Times New Roman" w:ascii="Times New Roman" w:hAnsi="Times New Roman"/>
        </w:rPr>
        <w:t>Возможно предусматривать ограждение территории парка, размещение уличного технического оборудования (торговые тележки "вода", "мороженое") и некапитальных нестационарных сооружений питания (летние кафе).</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07" w:name="_Toc424230703"/>
      <w:bookmarkEnd w:id="307"/>
      <w:r>
        <w:rPr>
          <w:rFonts w:eastAsia="Times New Roman" w:cs="Times New Roman"/>
        </w:rPr>
        <w:t>Статья 60. Сады</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На территории туристической деревни рекомендуется формировать следующие виды садов: сады отдыха и прогулок, сады при сооружениях, сады-выставки, сады на крышах.</w:t>
      </w:r>
    </w:p>
    <w:p>
      <w:pPr>
        <w:pStyle w:val="Normal"/>
        <w:ind w:firstLine="567"/>
        <w:jc w:val="both"/>
        <w:rPr/>
      </w:pPr>
      <w:r>
        <w:rPr>
          <w:rFonts w:eastAsia="Times New Roman" w:cs="Times New Roman" w:ascii="Times New Roman" w:hAnsi="Times New Roman"/>
        </w:rPr>
        <w:t>2. Сад отдыха и прогулок обычно предназначен для организации кратковременного отдыха. Допускается транзитное пешеходное движение по территории сада.</w:t>
      </w:r>
    </w:p>
    <w:p>
      <w:pPr>
        <w:pStyle w:val="Normal"/>
        <w:ind w:firstLine="567"/>
        <w:jc w:val="both"/>
        <w:rPr/>
      </w:pPr>
      <w:r>
        <w:rPr>
          <w:rFonts w:eastAsia="Times New Roman" w:cs="Times New Roman" w:ascii="Times New Roman" w:hAnsi="Times New Roman"/>
        </w:rPr>
        <w:t>3. Как правило, обязательный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"вода", "мороженое"), осветительное оборудование.</w:t>
      </w:r>
    </w:p>
    <w:p>
      <w:pPr>
        <w:pStyle w:val="Normal"/>
        <w:ind w:firstLine="567"/>
        <w:jc w:val="both"/>
        <w:rPr/>
      </w:pPr>
      <w:r>
        <w:rPr>
          <w:rFonts w:eastAsia="Times New Roman" w:cs="Times New Roman" w:ascii="Times New Roman" w:hAnsi="Times New Roman"/>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pPr>
        <w:pStyle w:val="Normal"/>
        <w:ind w:firstLine="567"/>
        <w:jc w:val="both"/>
        <w:rPr/>
      </w:pPr>
      <w:r>
        <w:rPr>
          <w:rFonts w:eastAsia="Times New Roman" w:cs="Times New Roman" w:ascii="Times New Roman" w:hAnsi="Times New Roman"/>
        </w:rPr>
        <w:t>Возможно предусматривать размещение ограждения, некапитальных нестационарных сооружений питания (летние кафе).</w:t>
      </w:r>
    </w:p>
    <w:p>
      <w:pPr>
        <w:pStyle w:val="Normal"/>
        <w:ind w:firstLine="567"/>
        <w:jc w:val="both"/>
        <w:rPr/>
      </w:pPr>
      <w:r>
        <w:rPr>
          <w:rFonts w:eastAsia="Times New Roman" w:cs="Times New Roman" w:ascii="Times New Roman" w:hAnsi="Times New Roman"/>
        </w:rPr>
        <w:t>4. Сады при зданиях и сооружениях обычно формируются у зданий общественных организаций, зрелищных учреждений и других зданий и сооружений общественного назначения. Планировочная структура сада, как правило, должна обеспечивать рациональные подходы к объекту и быструю эвакуацию посетителей.</w:t>
      </w:r>
    </w:p>
    <w:p>
      <w:pPr>
        <w:pStyle w:val="Normal"/>
        <w:ind w:firstLine="567"/>
        <w:jc w:val="both"/>
        <w:rPr/>
      </w:pPr>
      <w:r>
        <w:rPr>
          <w:rFonts w:eastAsia="Times New Roman" w:cs="Times New Roman" w:ascii="Times New Roman" w:hAnsi="Times New Roman"/>
        </w:rPr>
        <w:t>5. Обязательный, рекомендуемый и допускаемый перечень элементов благоустройства сада рекомендуется принимать согласно части 3 данной статьи. Приемы озеленения и цветочного оформления рекомендуется применять в зависимости от функционального назначения зданий и сооружений: партерные (репрезентативный, парадный сад), интерьерные - с площадками отдыха, кулисами, беседками, ландшафтными цветниками (сад при зрелищных учреждениях).</w:t>
      </w:r>
    </w:p>
    <w:p>
      <w:pPr>
        <w:pStyle w:val="Normal"/>
        <w:ind w:firstLine="567"/>
        <w:jc w:val="both"/>
        <w:rPr/>
      </w:pPr>
      <w:r>
        <w:rPr>
          <w:rFonts w:eastAsia="Times New Roman" w:cs="Times New Roman" w:ascii="Times New Roman" w:hAnsi="Times New Roman"/>
        </w:rPr>
        <w:t>6. Сад-выставка (скульптуры, цветов, произведений декоративно-прикладного искусства), как правило, - экспозиционная территория, действующая как самостоятельный объект или как часть парка. Планировочная организация сада-выставки обычно должна быть направлена на выгодное представление экспозиции и создание удобного движения при ее осмотре.</w:t>
      </w:r>
    </w:p>
    <w:p>
      <w:pPr>
        <w:pStyle w:val="Normal"/>
        <w:ind w:firstLine="567"/>
        <w:jc w:val="both"/>
        <w:rPr/>
      </w:pPr>
      <w:r>
        <w:rPr>
          <w:rFonts w:eastAsia="Times New Roman" w:cs="Times New Roman" w:ascii="Times New Roman" w:hAnsi="Times New Roman"/>
        </w:rPr>
        <w:t>7. Обязательный, рекомендуемый и допускаемый перечень элементов благоустройства сада при сооружениях рекомендуется принимать согласно части 3 данной статьи. Кроме того, рекомендуется размещать информационное оборудование со схемой организации и наименованиями экспозиции. Приемы озеленения рекомендуется ориентировать на создание хороших условий для осмотра экспозиции: газонные партеры, зеленые кулисы и боскеты.</w:t>
      </w:r>
    </w:p>
    <w:p>
      <w:pPr>
        <w:pStyle w:val="Normal"/>
        <w:ind w:firstLine="567"/>
        <w:jc w:val="both"/>
        <w:rPr/>
      </w:pPr>
      <w:r>
        <w:rPr>
          <w:rFonts w:eastAsia="Times New Roman" w:cs="Times New Roman" w:ascii="Times New Roman" w:hAnsi="Times New Roman"/>
        </w:rPr>
        <w:t>8. Сады на крышах могут размещаться на плоских крышах общественных и производственных зданий и сооружений в целях создания среды для кратковременного отдыха, благоприятных эстетических и микроклиматических условий. Проектирование сада на крыше кроме решения задач озеленения обычно требует учета комплекса внешних (климатических, экологических) и внутренних (механические нагрузки, влажностный и температурный режим здания) факторов. Перечень элементов благоустройства сада на крыше рекомендуется определять проектным решением.</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08" w:name="_Toc424230704"/>
      <w:bookmarkEnd w:id="308"/>
      <w:r>
        <w:rPr>
          <w:rFonts w:eastAsia="Times New Roman" w:cs="Times New Roman"/>
        </w:rPr>
        <w:t>Статья 61. Бульвары, скверы</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Бульвары и скверы обычно предназначены для организации кратковременного отдыха, прогулок, транзитных пешеходных передвижений.</w:t>
      </w:r>
    </w:p>
    <w:p>
      <w:pPr>
        <w:pStyle w:val="Normal"/>
        <w:ind w:firstLine="567"/>
        <w:jc w:val="both"/>
        <w:rPr/>
      </w:pPr>
      <w:r>
        <w:rPr>
          <w:rFonts w:eastAsia="Times New Roman" w:cs="Times New Roman" w:ascii="Times New Roman" w:hAnsi="Times New Roman"/>
        </w:rPr>
        <w:t>2. Как правило,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pPr>
        <w:pStyle w:val="Normal"/>
        <w:ind w:firstLine="567"/>
        <w:jc w:val="both"/>
        <w:rPr/>
      </w:pPr>
      <w:r>
        <w:rPr>
          <w:rFonts w:eastAsia="Times New Roman" w:cs="Times New Roman" w:ascii="Times New Roman" w:hAnsi="Times New Roman"/>
        </w:rPr>
        <w:t>Рекомендуется проектировать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pPr>
        <w:pStyle w:val="Normal"/>
        <w:ind w:firstLine="567"/>
        <w:jc w:val="both"/>
        <w:rPr/>
      </w:pPr>
      <w:r>
        <w:rPr>
          <w:rFonts w:eastAsia="Times New Roman" w:cs="Times New Roman" w:ascii="Times New Roman" w:hAnsi="Times New Roman"/>
        </w:rPr>
        <w:t>При озеленении бульваров рекомендуется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pPr>
        <w:pStyle w:val="Normal"/>
        <w:ind w:firstLine="567"/>
        <w:jc w:val="both"/>
        <w:rPr/>
      </w:pPr>
      <w:r>
        <w:rPr>
          <w:rFonts w:eastAsia="Times New Roman" w:cs="Times New Roman" w:ascii="Times New Roman" w:hAnsi="Times New Roman"/>
        </w:rPr>
        <w:t>Возможно размещение технического оборудования (тележки "вода", "мороженое").</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2"/>
        <w:numPr>
          <w:ilvl w:val="0"/>
          <w:numId w:val="0"/>
        </w:numPr>
        <w:ind w:left="360" w:hanging="360"/>
        <w:jc w:val="both"/>
        <w:rPr/>
      </w:pPr>
      <w:bookmarkStart w:id="309" w:name="_Toc424230705"/>
      <w:bookmarkEnd w:id="309"/>
      <w:r>
        <w:rPr>
          <w:rFonts w:eastAsia="Times New Roman" w:cs="Times New Roman"/>
        </w:rPr>
        <w:t>Глава 14. Благоустройство на территориях производственного назначения</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10" w:name="_Toc424230706"/>
      <w:bookmarkEnd w:id="310"/>
      <w:r>
        <w:rPr>
          <w:rFonts w:eastAsia="Times New Roman" w:cs="Times New Roman"/>
        </w:rPr>
        <w:t>Статья 62. Озелененные территории санитарно-защитных зон</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 Приемы благоустройства и озеленения в зависимости от отраслевой направленности производства рекомендуется применять в соответствии с </w:t>
      </w:r>
      <w:r>
        <w:fldChar w:fldCharType="begin"/>
      </w:r>
      <w:r>
        <w:instrText> HYPERLINK "http://www.garant.ru/products/ipo/prime/doc/70018446/" \l "6000"</w:instrText>
      </w:r>
      <w:r>
        <w:fldChar w:fldCharType="separate"/>
      </w:r>
      <w:r>
        <w:rPr>
          <w:rStyle w:val="Style5"/>
          <w:rFonts w:eastAsia="Times New Roman" w:cs="Times New Roman" w:ascii="Times New Roman" w:hAnsi="Times New Roman"/>
        </w:rPr>
        <w:t>Приложением 6</w:t>
      </w:r>
      <w:r>
        <w:fldChar w:fldCharType="end"/>
      </w:r>
      <w:r>
        <w:rPr>
          <w:rFonts w:eastAsia="Times New Roman" w:cs="Times New Roman" w:ascii="Times New Roman" w:hAnsi="Times New Roman"/>
        </w:rPr>
        <w:t>.</w:t>
      </w:r>
    </w:p>
    <w:p>
      <w:pPr>
        <w:pStyle w:val="Normal"/>
        <w:ind w:firstLine="567"/>
        <w:jc w:val="both"/>
        <w:rPr/>
      </w:pPr>
      <w:r>
        <w:rPr>
          <w:rFonts w:eastAsia="Times New Roman" w:cs="Times New Roman" w:ascii="Times New Roman" w:hAnsi="Times New Roman"/>
        </w:rPr>
        <w:t>2. Площадь озеленения санитарно-защитных зон (далее - СЗЗ) территорий производственного назначения должна определяться проектным решением в соответствии с требованиями СанПиН 2.2.1/2.1.1.1200.</w:t>
      </w:r>
    </w:p>
    <w:p>
      <w:pPr>
        <w:pStyle w:val="Normal"/>
        <w:ind w:firstLine="567"/>
        <w:jc w:val="both"/>
        <w:rPr/>
      </w:pPr>
      <w:r>
        <w:rPr>
          <w:rFonts w:cs="Times New Roman" w:ascii="Times New Roman" w:hAnsi="Times New Roman"/>
        </w:rPr>
        <w:t>3</w:t>
      </w:r>
      <w:r>
        <w:rPr>
          <w:rFonts w:eastAsia="Times New Roman" w:cs="Times New Roman" w:ascii="Times New Roman" w:hAnsi="Times New Roman"/>
        </w:rPr>
        <w:t>. Как правило, обязательный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элементы защиты насаждений и участков озеленения.</w:t>
      </w:r>
    </w:p>
    <w:p>
      <w:pPr>
        <w:pStyle w:val="Normal"/>
        <w:ind w:firstLine="567"/>
        <w:jc w:val="both"/>
        <w:rPr/>
      </w:pPr>
      <w:r>
        <w:rPr>
          <w:rFonts w:eastAsia="Times New Roman" w:cs="Times New Roman" w:ascii="Times New Roman" w:hAnsi="Times New Roman"/>
        </w:rPr>
        <w:t>Озеленение рекомендуется формировать в виде живописных композиций, исключающих однообразие и монотонность.</w:t>
      </w:r>
    </w:p>
    <w:p>
      <w:pPr>
        <w:pStyle w:val="Normal"/>
        <w:ind w:firstLine="567"/>
        <w:jc w:val="both"/>
        <w:rPr>
          <w:rFonts w:ascii="Times New Roman" w:hAnsi="Times New Roman" w:cs="Times New Roman"/>
        </w:rPr>
      </w:pPr>
      <w:r>
        <w:rPr>
          <w:rFonts w:cs="Times New Roman" w:ascii="Times New Roman" w:hAnsi="Times New Roman"/>
        </w:rPr>
      </w:r>
    </w:p>
    <w:p>
      <w:pPr>
        <w:pStyle w:val="2"/>
        <w:numPr>
          <w:ilvl w:val="0"/>
          <w:numId w:val="0"/>
        </w:numPr>
        <w:spacing w:lineRule="auto" w:line="240"/>
        <w:jc w:val="both"/>
        <w:rPr/>
      </w:pPr>
      <w:bookmarkStart w:id="311" w:name="_Toc424230707"/>
      <w:bookmarkEnd w:id="311"/>
      <w:r>
        <w:rPr>
          <w:rFonts w:eastAsia="Times New Roman" w:cs="Times New Roman"/>
        </w:rPr>
        <w:t>Глава 15. Объекты благоустройства на территориях транспортных и инженерных коммуникаций муниципального образования</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12" w:name="_Toc424230708"/>
      <w:bookmarkEnd w:id="312"/>
      <w:r>
        <w:rPr>
          <w:rFonts w:eastAsia="Times New Roman" w:cs="Times New Roman"/>
        </w:rPr>
        <w:t>Статья 63. Общие положения благоустройства на территориях транспортных и инженерных коммуникаций муниципального образования</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Объектами нормирования благоустройства на территориях транспортных коммуникаций населенного пункта обычно является улично-дорожная сеть (далее - УДС) ВТРК "Архыз"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pPr>
        <w:pStyle w:val="Normal"/>
        <w:ind w:firstLine="567"/>
        <w:jc w:val="both"/>
        <w:rPr/>
      </w:pPr>
      <w:r>
        <w:rPr>
          <w:rFonts w:eastAsia="Times New Roman" w:cs="Times New Roman" w:ascii="Times New Roman" w:hAnsi="Times New Roman"/>
        </w:rPr>
        <w:t>2. Объектами нормирования благоустройства на территориях инженерных коммуникаций обычно являются охранно-эксплуатационные зоны магистральных сетей, инженерных коммуникаций, технические зоны метрополитена.</w:t>
      </w:r>
    </w:p>
    <w:p>
      <w:pPr>
        <w:pStyle w:val="Normal"/>
        <w:ind w:firstLine="567"/>
        <w:jc w:val="both"/>
        <w:rPr/>
      </w:pPr>
      <w:r>
        <w:rPr>
          <w:rFonts w:eastAsia="Times New Roman" w:cs="Times New Roman" w:ascii="Times New Roman" w:hAnsi="Times New Roman"/>
        </w:rPr>
        <w:t>3. Проектирование комплексного благоустройства на территориях транспортных и инженерных коммуникаций города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подземных инженерных сетей ВТРК "Архыз" в границах УДС рекомендуется вести преимущественно в проходных коллекторах.</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r>
        <w:br w:type="page"/>
      </w:r>
    </w:p>
    <w:p>
      <w:pPr>
        <w:pStyle w:val="3"/>
        <w:numPr>
          <w:ilvl w:val="0"/>
          <w:numId w:val="0"/>
        </w:numPr>
        <w:ind w:left="1080" w:hanging="360"/>
        <w:jc w:val="center"/>
        <w:rPr/>
      </w:pPr>
      <w:bookmarkStart w:id="313" w:name="_Toc424230709"/>
      <w:bookmarkEnd w:id="313"/>
      <w:r>
        <w:rPr>
          <w:rFonts w:eastAsia="Times New Roman" w:cs="Times New Roman"/>
        </w:rPr>
        <w:t>Статья 64. Улицы и дороги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Улицы и дороги на территории ВТРК "Архыз" по назначению и транспортным характеристикам обычно подразделяются на магистральные улицы общегородского и районного значения, улицы и дороги местного значения.</w:t>
      </w:r>
    </w:p>
    <w:p>
      <w:pPr>
        <w:pStyle w:val="Normal"/>
        <w:ind w:firstLine="567"/>
        <w:jc w:val="both"/>
        <w:rPr/>
      </w:pPr>
      <w:r>
        <w:rPr>
          <w:rFonts w:eastAsia="Times New Roman" w:cs="Times New Roman" w:ascii="Times New Roman" w:hAnsi="Times New Roman"/>
        </w:rPr>
        <w:t>2. Как правило, обязательный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pPr>
        <w:pStyle w:val="Normal"/>
        <w:ind w:firstLine="567"/>
        <w:jc w:val="both"/>
        <w:rPr/>
      </w:pPr>
      <w:r>
        <w:rPr>
          <w:rFonts w:eastAsia="Times New Roman" w:cs="Times New Roman" w:ascii="Times New Roman" w:hAnsi="Times New Roman"/>
        </w:rPr>
        <w:t>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w:t>
      </w:r>
      <w:r>
        <w:fldChar w:fldCharType="begin"/>
      </w:r>
      <w:r>
        <w:instrText> HYPERLINK "http://www.garant.ru/products/ipo/prime/doc/70018446/" \l "7000"</w:instrText>
      </w:r>
      <w:r>
        <w:fldChar w:fldCharType="separate"/>
      </w:r>
      <w:r>
        <w:rPr>
          <w:rStyle w:val="Style5"/>
          <w:rFonts w:eastAsia="Times New Roman" w:cs="Times New Roman" w:ascii="Times New Roman" w:hAnsi="Times New Roman"/>
        </w:rPr>
        <w:t>Приложении 7</w:t>
      </w:r>
      <w:r>
        <w:fldChar w:fldCharType="end"/>
      </w:r>
      <w:r>
        <w:rPr>
          <w:rFonts w:eastAsia="Times New Roman" w:cs="Times New Roman" w:ascii="Times New Roman" w:hAnsi="Times New Roman"/>
        </w:rPr>
        <w:t>.</w:t>
      </w:r>
    </w:p>
    <w:p>
      <w:pPr>
        <w:pStyle w:val="Normal"/>
        <w:ind w:firstLine="567"/>
        <w:jc w:val="both"/>
        <w:rPr/>
      </w:pPr>
      <w:r>
        <w:rPr>
          <w:rFonts w:eastAsia="Times New Roman" w:cs="Times New Roman" w:ascii="Times New Roman" w:hAnsi="Times New Roman"/>
        </w:rPr>
        <w:t>Для проектирования озеленения улиц и дорог рекомендуется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Размещение зеленых насаждений у поворотов и остановок при нерегулируемом движении рекомендуется проектировать согласно части 2 статьи 66 настоящих Правил.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 специально выращиваемые для таких объектов растения (</w:t>
      </w:r>
      <w:r>
        <w:fldChar w:fldCharType="begin"/>
      </w:r>
      <w:r>
        <w:instrText> HYPERLINK "http://www.garant.ru/products/ipo/prime/doc/70018446/" \l "21016"</w:instrText>
      </w:r>
      <w:r>
        <w:fldChar w:fldCharType="separate"/>
      </w:r>
      <w:r>
        <w:rPr>
          <w:rStyle w:val="Style5"/>
          <w:rFonts w:eastAsia="Times New Roman" w:cs="Times New Roman" w:ascii="Times New Roman" w:hAnsi="Times New Roman"/>
        </w:rPr>
        <w:t>таблица 16</w:t>
      </w:r>
      <w:r>
        <w:fldChar w:fldCharType="end"/>
      </w:r>
      <w:r>
        <w:rPr>
          <w:rFonts w:eastAsia="Times New Roman" w:cs="Times New Roman" w:ascii="Times New Roman" w:hAnsi="Times New Roman"/>
        </w:rPr>
        <w:t xml:space="preserve"> Приложения № 2.</w:t>
      </w:r>
    </w:p>
    <w:p>
      <w:pPr>
        <w:pStyle w:val="Normal"/>
        <w:ind w:firstLine="567"/>
        <w:jc w:val="both"/>
        <w:rPr/>
      </w:pPr>
      <w:r>
        <w:rPr>
          <w:rFonts w:eastAsia="Times New Roman" w:cs="Times New Roman" w:ascii="Times New Roman" w:hAnsi="Times New Roman"/>
        </w:rPr>
        <w:t>3. Ограждения на территории транспортных коммуникаций обычно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следует проектировать в соответствии с ГОСТ Р 52289, ГОСТ 26804.</w:t>
      </w:r>
    </w:p>
    <w:p>
      <w:pPr>
        <w:pStyle w:val="Normal"/>
        <w:ind w:firstLine="567"/>
        <w:jc w:val="both"/>
        <w:rPr/>
      </w:pPr>
      <w:r>
        <w:rPr>
          <w:rFonts w:eastAsia="Times New Roman" w:cs="Times New Roman" w:ascii="Times New Roman" w:hAnsi="Times New Roman"/>
        </w:rPr>
        <w:t>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14" w:name="_Toc424230710"/>
      <w:bookmarkEnd w:id="314"/>
      <w:r>
        <w:rPr>
          <w:rFonts w:eastAsia="Times New Roman" w:cs="Times New Roman"/>
        </w:rPr>
        <w:t>Статья 65. Площади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По функциональному назначению площади обычно подразделяются на: главные, приобъектные, общественно-транспортные, мемориальные, площади транспортных развязок. При проектировании благоустройства рекомендуется обеспечивать максимально возможное разделение пешеходного и транспортного движения, основных и местных транспортных потоков.</w:t>
      </w:r>
    </w:p>
    <w:p>
      <w:pPr>
        <w:pStyle w:val="Normal"/>
        <w:ind w:firstLine="567"/>
        <w:jc w:val="both"/>
        <w:rPr/>
      </w:pPr>
      <w:r>
        <w:rPr>
          <w:rFonts w:eastAsia="Times New Roman" w:cs="Times New Roman" w:ascii="Times New Roman" w:hAnsi="Times New Roman"/>
        </w:rPr>
        <w:t>2. Территории площади, как правило, включают: проезжую часть, пешеходную часть, участки и территории озеленения. При многоуровневой организации пространства площади пешеходную часть рекомендуется частично или полностью совмещать с дневной поверхностью, а в подземном уровне в зоне внеуличных пешеходных переходов размещать остановки и остановки общественного транспорта, места для парковки легковых автомобилей, инженерное оборудование и коммуникации, погрузочно-разгрузочные площадки, туалеты, площадки с контейнерами для сбора мусора.</w:t>
      </w:r>
    </w:p>
    <w:p>
      <w:pPr>
        <w:pStyle w:val="Normal"/>
        <w:ind w:firstLine="567"/>
        <w:jc w:val="both"/>
        <w:rPr/>
      </w:pPr>
      <w:r>
        <w:rPr>
          <w:rFonts w:eastAsia="Times New Roman" w:cs="Times New Roman" w:ascii="Times New Roman" w:hAnsi="Times New Roman"/>
        </w:rPr>
        <w:t>3. Обязательный перечень элементов благоустройства на территории площади рекомендуется принимать в соответствии с частью 2 статьи 63 настоящих Правил. В зависимости от функционального назначения площади рекомендуется размещать следующие дополнительные элементы благоустройства:</w:t>
      </w:r>
    </w:p>
    <w:p>
      <w:pPr>
        <w:pStyle w:val="Normal"/>
        <w:ind w:firstLine="567"/>
        <w:jc w:val="both"/>
        <w:rPr/>
      </w:pPr>
      <w:r>
        <w:rPr>
          <w:rFonts w:eastAsia="Times New Roman" w:cs="Times New Roman" w:ascii="Times New Roman" w:hAnsi="Times New Roman"/>
        </w:rPr>
        <w:t>- на главных, приобъектных, мемориальных площадях - произведения монументально-декоративного искусства, водные устройства (фонтаны);</w:t>
      </w:r>
    </w:p>
    <w:p>
      <w:pPr>
        <w:pStyle w:val="Normal"/>
        <w:ind w:firstLine="567"/>
        <w:jc w:val="both"/>
        <w:rPr/>
      </w:pPr>
      <w:r>
        <w:rPr>
          <w:rFonts w:eastAsia="Times New Roman" w:cs="Times New Roman" w:ascii="Times New Roman" w:hAnsi="Times New Roman"/>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наружной рекламы и информации.</w:t>
      </w:r>
    </w:p>
    <w:p>
      <w:pPr>
        <w:pStyle w:val="Normal"/>
        <w:ind w:firstLine="567"/>
        <w:jc w:val="both"/>
        <w:rPr/>
      </w:pPr>
      <w:r>
        <w:rPr>
          <w:rFonts w:eastAsia="Times New Roman" w:cs="Times New Roman" w:ascii="Times New Roman" w:hAnsi="Times New Roman"/>
        </w:rPr>
        <w:t xml:space="preserve">Виды покрытия </w:t>
      </w:r>
      <w:r>
        <w:fldChar w:fldCharType="begin"/>
      </w:r>
      <w:r>
        <w:instrText> HYPERLINK "http://www.garant.ru/products/ipo/prime/doc/70018446/" \l "9"</w:instrText>
      </w:r>
      <w:r>
        <w:fldChar w:fldCharType="separate"/>
      </w:r>
      <w:r>
        <w:rPr>
          <w:rStyle w:val="Style5"/>
          <w:rFonts w:eastAsia="Times New Roman" w:cs="Times New Roman" w:ascii="Times New Roman" w:hAnsi="Times New Roman"/>
        </w:rPr>
        <w:t>пешеходной части площади</w:t>
      </w:r>
      <w:r>
        <w:fldChar w:fldCharType="end"/>
      </w:r>
      <w:r>
        <w:rPr>
          <w:rFonts w:eastAsia="Times New Roman" w:cs="Times New Roman" w:ascii="Times New Roman" w:hAnsi="Times New Roman"/>
        </w:rPr>
        <w:t xml:space="preserve"> обычно должны предусматривать возможность проезда автомобилей специального назначения (пожарных, аварийных, уборочных), временной парковки легковых автомобилей.</w:t>
      </w:r>
    </w:p>
    <w:p>
      <w:pPr>
        <w:pStyle w:val="Normal"/>
        <w:ind w:firstLine="567"/>
        <w:jc w:val="both"/>
        <w:rPr/>
      </w:pPr>
      <w:r>
        <w:rPr>
          <w:rFonts w:eastAsia="Times New Roman" w:cs="Times New Roman" w:ascii="Times New Roman" w:hAnsi="Times New Roman"/>
        </w:rPr>
        <w:t xml:space="preserve">Места возможного проезда и временной парковки автомобилей на пешеходной части площади рекомендуется выделять цветом или фактурой покрытия, мобильным озеленением (контейнеры, вазоны), переносными ограждениями. Ширину прохода рекомендуется проектировать в соответствии с </w:t>
      </w:r>
      <w:r>
        <w:fldChar w:fldCharType="begin"/>
      </w:r>
      <w:r>
        <w:instrText> HYPERLINK "http://www.garant.ru/products/ipo/prime/doc/70018446/" \l "3000"</w:instrText>
      </w:r>
      <w:r>
        <w:fldChar w:fldCharType="separate"/>
      </w:r>
      <w:r>
        <w:rPr>
          <w:rStyle w:val="Style5"/>
          <w:rFonts w:eastAsia="Times New Roman" w:cs="Times New Roman" w:ascii="Times New Roman" w:hAnsi="Times New Roman"/>
        </w:rPr>
        <w:t>Приложением 3</w:t>
      </w:r>
      <w:r>
        <w:fldChar w:fldCharType="end"/>
      </w:r>
      <w:r>
        <w:rPr>
          <w:rFonts w:eastAsia="Times New Roman" w:cs="Times New Roman" w:ascii="Times New Roman" w:hAnsi="Times New Roman"/>
        </w:rPr>
        <w:t>.</w:t>
      </w:r>
    </w:p>
    <w:p>
      <w:pPr>
        <w:pStyle w:val="Normal"/>
        <w:ind w:firstLine="567"/>
        <w:jc w:val="both"/>
        <w:rPr/>
      </w:pPr>
      <w:r>
        <w:rPr>
          <w:rFonts w:eastAsia="Times New Roman" w:cs="Times New Roman" w:ascii="Times New Roman" w:hAnsi="Times New Roman"/>
        </w:rPr>
        <w:t xml:space="preserve">При озеленении площади рекомендуется использовать периметральное озеленение, насаждения в центре площади (сквер или островок безопасности), а также совмещение этих приемов.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 согласно </w:t>
      </w:r>
      <w:r>
        <w:fldChar w:fldCharType="begin"/>
      </w:r>
      <w:r>
        <w:instrText> HYPERLINK "http://www.garant.ru/products/ipo/prime/doc/70018446/" \l "742"</w:instrText>
      </w:r>
      <w:r>
        <w:fldChar w:fldCharType="separate"/>
      </w:r>
      <w:r>
        <w:rPr>
          <w:rStyle w:val="Style5"/>
          <w:rFonts w:eastAsia="Times New Roman" w:cs="Times New Roman" w:ascii="Times New Roman" w:hAnsi="Times New Roman"/>
        </w:rPr>
        <w:t>части 2</w:t>
      </w:r>
      <w:r>
        <w:fldChar w:fldCharType="end"/>
      </w:r>
      <w:r>
        <w:rPr>
          <w:rFonts w:eastAsia="Times New Roman" w:cs="Times New Roman" w:ascii="Times New Roman" w:hAnsi="Times New Roman"/>
        </w:rPr>
        <w:t xml:space="preserve"> статьи 66 настоящих Правил.</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15" w:name="_Toc424230711"/>
      <w:bookmarkEnd w:id="315"/>
      <w:r>
        <w:rPr>
          <w:rFonts w:eastAsia="Times New Roman" w:cs="Times New Roman"/>
        </w:rPr>
        <w:t>Статья 66. Пешеходные переходы</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1. Пешеходные переходы рекомендуется размещать в местах пересечения основных пешеходных коммуникаций с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pPr>
        <w:pStyle w:val="Normal"/>
        <w:ind w:firstLine="567"/>
        <w:jc w:val="both"/>
        <w:rPr/>
      </w:pPr>
      <w:r>
        <w:rPr>
          <w:rFonts w:eastAsia="Times New Roman" w:cs="Times New Roman" w:ascii="Times New Roman" w:hAnsi="Times New Roman"/>
        </w:rPr>
        <w:t>2. При размещении наземного пешеходного перехода на улицах нерегулируемого движения рекомендуется обеспечивать треугольник видимости, в зоне которого не следует допускать размещение строений, некапитальных нестационарных сооружений, рекламных щитов, зеленых насаждений высотой более 0,5 м. Стороны треугольника рекомендуется принимать: 8x40 м при разрешенной скорости движения транспорта 40 км/ч; 10x50 м - при скорости 60 км/ч.</w:t>
      </w:r>
    </w:p>
    <w:p>
      <w:pPr>
        <w:pStyle w:val="Normal"/>
        <w:ind w:firstLine="567"/>
        <w:jc w:val="both"/>
        <w:rPr/>
      </w:pPr>
      <w:r>
        <w:rPr>
          <w:rFonts w:eastAsia="Times New Roman" w:cs="Times New Roman" w:ascii="Times New Roman" w:hAnsi="Times New Roman"/>
        </w:rPr>
        <w:t>3. 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pPr>
        <w:pStyle w:val="Normal"/>
        <w:ind w:firstLine="567"/>
        <w:jc w:val="both"/>
        <w:rPr/>
      </w:pPr>
      <w:r>
        <w:rPr>
          <w:rFonts w:eastAsia="Times New Roman" w:cs="Times New Roman" w:ascii="Times New Roman" w:hAnsi="Times New Roman"/>
        </w:rPr>
        <w:t>Если в составе наземного пешеходного перехода расположен "островок безопасности",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16" w:name="_Toc424230712"/>
      <w:bookmarkEnd w:id="316"/>
      <w:r>
        <w:rPr>
          <w:rFonts w:eastAsia="Times New Roman" w:cs="Times New Roman"/>
        </w:rPr>
        <w:t>Статья 67. Технические зоны транспортных, инженерных коммуникаций, водоохранные зоны</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На территории туристических деревень 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pPr>
        <w:pStyle w:val="Normal"/>
        <w:ind w:firstLine="567"/>
        <w:jc w:val="both"/>
        <w:rPr/>
      </w:pPr>
      <w:r>
        <w:rPr>
          <w:rFonts w:eastAsia="Times New Roman" w:cs="Times New Roman" w:ascii="Times New Roman" w:hAnsi="Times New Roman"/>
        </w:rPr>
        <w:t>2.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как правило,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том числе некапитальных нестационарных, кроме технических, имеющих отношение к обслуживанию и эксплуатации проходящих в технической зоне коммуникаций.</w:t>
      </w:r>
    </w:p>
    <w:p>
      <w:pPr>
        <w:pStyle w:val="Normal"/>
        <w:ind w:firstLine="567"/>
        <w:jc w:val="both"/>
        <w:rPr/>
      </w:pPr>
      <w:r>
        <w:rPr>
          <w:rFonts w:eastAsia="Times New Roman" w:cs="Times New Roman" w:ascii="Times New Roman" w:hAnsi="Times New Roman"/>
        </w:rPr>
        <w:t>3. В зоне линий высоковольтных передач напряжением менее 110 кВт озеленение рекомендуется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pPr>
        <w:pStyle w:val="Normal"/>
        <w:ind w:firstLine="567"/>
        <w:jc w:val="both"/>
        <w:rPr/>
      </w:pPr>
      <w:r>
        <w:rPr>
          <w:rFonts w:eastAsia="Times New Roman" w:cs="Times New Roman" w:ascii="Times New Roman" w:hAnsi="Times New Roman"/>
        </w:rPr>
        <w:t xml:space="preserve">4. </w:t>
      </w:r>
      <w:r>
        <w:fldChar w:fldCharType="begin"/>
      </w:r>
      <w:r>
        <w:instrText> HYPERLINK "http://www.garant.ru/products/ipo/prime/doc/70018446/" \l "2131015"</w:instrText>
      </w:r>
      <w:r>
        <w:fldChar w:fldCharType="separate"/>
      </w:r>
      <w:r>
        <w:rPr>
          <w:rStyle w:val="Style5"/>
          <w:rFonts w:eastAsia="Times New Roman" w:cs="Times New Roman" w:ascii="Times New Roman" w:hAnsi="Times New Roman"/>
        </w:rPr>
        <w:t>Благоустройство территорий</w:t>
      </w:r>
      <w:r>
        <w:fldChar w:fldCharType="end"/>
      </w:r>
      <w:r>
        <w:rPr>
          <w:rFonts w:eastAsia="Times New Roman" w:cs="Times New Roman" w:ascii="Times New Roman" w:hAnsi="Times New Roman"/>
        </w:rPr>
        <w:t xml:space="preserve"> водоохранных зон следует проектировать в соответствии с водным законодательством.</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2"/>
        <w:numPr>
          <w:ilvl w:val="0"/>
          <w:numId w:val="0"/>
        </w:numPr>
        <w:jc w:val="both"/>
        <w:rPr/>
      </w:pPr>
      <w:bookmarkStart w:id="317" w:name="_Toc424230713"/>
      <w:bookmarkEnd w:id="317"/>
      <w:r>
        <w:rPr>
          <w:rFonts w:eastAsia="Times New Roman" w:cs="Times New Roman"/>
        </w:rPr>
        <w:t>Глава 16. Эксплуатация объектов благоустройства</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18" w:name="_Toc424230714"/>
      <w:bookmarkEnd w:id="318"/>
      <w:r>
        <w:rPr>
          <w:rFonts w:eastAsia="Times New Roman" w:cs="Times New Roman"/>
        </w:rPr>
        <w:t>Статья 68. Общие положения эксплуатации объектов благоустройства</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1. Правила эксплуатации объектов благоустройства принимаются органом местного самоуправления (далее - Правила эксплуатации). Настоящая глава содержит основные принципы и рекомендации по структуре и содержанию Правил эксплуатации.</w:t>
      </w:r>
    </w:p>
    <w:p>
      <w:pPr>
        <w:pStyle w:val="Normal"/>
        <w:ind w:firstLine="567"/>
        <w:jc w:val="both"/>
        <w:rPr/>
      </w:pPr>
      <w:r>
        <w:rPr>
          <w:rFonts w:eastAsia="Times New Roman" w:cs="Times New Roman" w:ascii="Times New Roman" w:hAnsi="Times New Roman"/>
        </w:rPr>
        <w:t xml:space="preserve">2. В состав правил эксплуатации объектов благоустройства рекомендуется включать следующие разделы (подразделы): </w:t>
      </w:r>
      <w:r>
        <w:fldChar w:fldCharType="begin"/>
      </w:r>
      <w:r>
        <w:instrText> HYPERLINK "http://www.garant.ru/products/ipo/prime/doc/70018446/" \l "2131020"</w:instrText>
      </w:r>
      <w:r>
        <w:fldChar w:fldCharType="separate"/>
      </w:r>
      <w:r>
        <w:rPr>
          <w:rStyle w:val="Style5"/>
          <w:rFonts w:eastAsia="Times New Roman" w:cs="Times New Roman" w:ascii="Times New Roman" w:hAnsi="Times New Roman"/>
        </w:rPr>
        <w:t>уборка территории</w:t>
      </w:r>
      <w:r>
        <w:fldChar w:fldCharType="end"/>
      </w:r>
      <w:r>
        <w:rPr>
          <w:rFonts w:eastAsia="Times New Roman" w:cs="Times New Roman" w:ascii="Times New Roman" w:hAnsi="Times New Roman"/>
        </w:rPr>
        <w:t>, порядок содержания элементов благоустройства, работы по озеленению территорий и содержанию зеленых насаждений, содержание и эксплуатация дорог, освещение территории, проведения работ при строительстве, ремонте и реконструкции коммуникаций, содержание животных, особые требования к доступности среды, праздничное оформление ВТРК "Архыз", основные положения о контроле за эксплуатацией объектов благоустройства.</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19" w:name="_Toc424230715"/>
      <w:bookmarkEnd w:id="319"/>
      <w:r>
        <w:rPr>
          <w:rFonts w:eastAsia="Times New Roman" w:cs="Times New Roman"/>
        </w:rPr>
        <w:t>Статья 69. Уборка территории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Физические и юридические лица, независимо от их организационно-правовых форм, следует обязывать обеспечивать своевременную и качественную очистку и уборку принадлежащих им на праве собственности или ином вещном праве земельных участков и прилегающих территорий в соответствии с действующим законодательством, </w:t>
      </w:r>
      <w:r>
        <w:fldChar w:fldCharType="begin"/>
      </w:r>
      <w:r>
        <w:instrText> HYPERLINK "http://www.garant.ru/products/ipo/prime/doc/70018446/" \l "800"</w:instrText>
      </w:r>
      <w:r>
        <w:fldChar w:fldCharType="separate"/>
      </w:r>
      <w:r>
        <w:rPr>
          <w:rStyle w:val="Style5"/>
          <w:rFonts w:eastAsia="Times New Roman" w:cs="Times New Roman" w:ascii="Times New Roman" w:hAnsi="Times New Roman"/>
        </w:rPr>
        <w:t>разделом 8</w:t>
      </w:r>
      <w:r>
        <w:fldChar w:fldCharType="end"/>
      </w:r>
      <w:r>
        <w:rPr>
          <w:rFonts w:eastAsia="Times New Roman" w:cs="Times New Roman" w:ascii="Times New Roman" w:hAnsi="Times New Roman"/>
        </w:rPr>
        <w:t xml:space="preserve"> и порядком сбора, вывоза и утилизации отходов производства и потребления, утверждаемых органом местного самоуправления.</w:t>
      </w:r>
    </w:p>
    <w:p>
      <w:pPr>
        <w:pStyle w:val="Normal"/>
        <w:ind w:firstLine="567"/>
        <w:jc w:val="both"/>
        <w:rPr/>
      </w:pPr>
      <w:r>
        <w:rPr>
          <w:rFonts w:eastAsia="Times New Roman" w:cs="Times New Roman" w:ascii="Times New Roman" w:hAnsi="Times New Roman"/>
        </w:rPr>
        <w:t>Организация уборки иных территорий осуществляется органами местного самоуправления по соглашению со специализированной организацией в пределах средств, предусмотренных на эти цели в бюджете ВТРК "Архыз".</w:t>
      </w:r>
    </w:p>
    <w:p>
      <w:pPr>
        <w:pStyle w:val="Normal"/>
        <w:ind w:firstLine="567"/>
        <w:jc w:val="both"/>
        <w:rPr/>
      </w:pPr>
      <w:r>
        <w:rPr>
          <w:rFonts w:eastAsia="Times New Roman" w:cs="Times New Roman" w:ascii="Times New Roman" w:hAnsi="Times New Roman"/>
        </w:rPr>
        <w:t>2. Промышленные организации обязывать создавать защитные зеленые полосы, ограждать гостиничные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pPr>
        <w:pStyle w:val="Normal"/>
        <w:ind w:firstLine="567"/>
        <w:jc w:val="both"/>
        <w:rPr/>
      </w:pPr>
      <w:r>
        <w:rPr>
          <w:rFonts w:eastAsia="Times New Roman" w:cs="Times New Roman" w:ascii="Times New Roman" w:hAnsi="Times New Roman"/>
        </w:rPr>
        <w:t>3. На территории ВТРК "Архыз" запрещается накапливать и размещать отходы производства и потребления в несанкционированных местах.</w:t>
      </w:r>
    </w:p>
    <w:p>
      <w:pPr>
        <w:pStyle w:val="Normal"/>
        <w:ind w:firstLine="567"/>
        <w:jc w:val="both"/>
        <w:rPr/>
      </w:pPr>
      <w:r>
        <w:rPr>
          <w:rFonts w:eastAsia="Times New Roman" w:cs="Times New Roman" w:ascii="Times New Roman" w:hAnsi="Times New Roman"/>
        </w:rPr>
        <w:t>Лиц, разместивших отходы производства и потребления в несанкционированных местах, обязывать за свой счет производить уборку и очистку данной территории, а при необходимости - рекультивацию земельного участка.</w:t>
      </w:r>
    </w:p>
    <w:p>
      <w:pPr>
        <w:pStyle w:val="Normal"/>
        <w:ind w:firstLine="567"/>
        <w:jc w:val="both"/>
        <w:rPr/>
      </w:pPr>
      <w:r>
        <w:rPr>
          <w:rFonts w:eastAsia="Times New Roman" w:cs="Times New Roman" w:ascii="Times New Roman" w:hAnsi="Times New Roman"/>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с частью 1 данной статьи.</w:t>
      </w:r>
    </w:p>
    <w:p>
      <w:pPr>
        <w:pStyle w:val="Normal"/>
        <w:ind w:firstLine="567"/>
        <w:jc w:val="both"/>
        <w:rPr/>
      </w:pPr>
      <w:r>
        <w:rPr>
          <w:rFonts w:eastAsia="Times New Roman" w:cs="Times New Roman" w:ascii="Times New Roman" w:hAnsi="Times New Roman"/>
        </w:rPr>
        <w:t>4. Сбор и вывоз отходов производства и потребления рекомендуется осуществлять по контейнерной или бестарной системе в установленном порядке.</w:t>
      </w:r>
    </w:p>
    <w:p>
      <w:pPr>
        <w:pStyle w:val="Normal"/>
        <w:ind w:firstLine="567"/>
        <w:jc w:val="both"/>
        <w:rPr/>
      </w:pPr>
      <w:r>
        <w:rPr>
          <w:rFonts w:eastAsia="Times New Roman" w:cs="Times New Roman" w:ascii="Times New Roman" w:hAnsi="Times New Roman"/>
        </w:rPr>
        <w:t>5. На территории общего пользования ВТРК "Архыз" рекомендуется ввести запрет на сжигание отходов производства и потребления.</w:t>
      </w:r>
    </w:p>
    <w:p>
      <w:pPr>
        <w:pStyle w:val="Normal"/>
        <w:ind w:firstLine="567"/>
        <w:jc w:val="both"/>
        <w:rPr/>
      </w:pPr>
      <w:r>
        <w:rPr>
          <w:rFonts w:eastAsia="Times New Roman" w:cs="Times New Roman" w:ascii="Times New Roman" w:hAnsi="Times New Roman"/>
        </w:rPr>
        <w:t>6. Организацию уборки территорий ВТРК "Архыз" рекомендуется осуществлять на основании использования показателей нормативных объемов образования отходов у их производителей.</w:t>
      </w:r>
    </w:p>
    <w:p>
      <w:pPr>
        <w:pStyle w:val="Normal"/>
        <w:ind w:firstLine="567"/>
        <w:jc w:val="both"/>
        <w:rPr/>
      </w:pPr>
      <w:r>
        <w:rPr>
          <w:rFonts w:eastAsia="Times New Roman" w:cs="Times New Roman" w:ascii="Times New Roman" w:hAnsi="Times New Roman"/>
        </w:rPr>
        <w:t>7. Вывоз бытовых отходов производства и потребления из гостиниц, организаций торговли и общественного питания, культуры, детских и лечебных заведений рекомендуется осуществлять указанными организациями и домовладельцами, а также иными производителями отходов производства и потребления самостоятельно либо на основании договоров со специализированными организациями.</w:t>
      </w:r>
    </w:p>
    <w:p>
      <w:pPr>
        <w:pStyle w:val="Normal"/>
        <w:ind w:firstLine="567"/>
        <w:jc w:val="both"/>
        <w:rPr/>
      </w:pPr>
      <w:r>
        <w:rPr>
          <w:rFonts w:eastAsia="Times New Roman" w:cs="Times New Roman" w:ascii="Times New Roman" w:hAnsi="Times New Roman"/>
        </w:rPr>
        <w:t>Вывоз отходов, образовавшихся во время ремонта, рекомендуется осуществлять в специально отведенные для этого места лицами, производивших этот ремонт, самостоятельно.</w:t>
      </w:r>
    </w:p>
    <w:p>
      <w:pPr>
        <w:pStyle w:val="Normal"/>
        <w:ind w:firstLine="567"/>
        <w:jc w:val="both"/>
        <w:rPr/>
      </w:pPr>
      <w:r>
        <w:rPr>
          <w:rFonts w:eastAsia="Times New Roman" w:cs="Times New Roman" w:ascii="Times New Roman" w:hAnsi="Times New Roman"/>
        </w:rPr>
        <w:t>Рекомендуется ввести запрет на складирование отходов, образовавшихся во время ремонта, в места временного хранения отходов.</w:t>
      </w:r>
    </w:p>
    <w:p>
      <w:pPr>
        <w:pStyle w:val="Normal"/>
        <w:ind w:firstLine="567"/>
        <w:jc w:val="both"/>
        <w:rPr/>
      </w:pPr>
      <w:r>
        <w:rPr>
          <w:rFonts w:eastAsia="Times New Roman" w:cs="Times New Roman" w:ascii="Times New Roman" w:hAnsi="Times New Roman"/>
        </w:rPr>
        <w:t>8. Для сбора отходов производства и потребления физических и юридических лиц, указанных в части 1 данной статьи рекомендуется организовать места временного хранения отходов и осуществлять его уборку и техническое обслуживание.</w:t>
      </w:r>
    </w:p>
    <w:p>
      <w:pPr>
        <w:pStyle w:val="Normal"/>
        <w:ind w:firstLine="567"/>
        <w:jc w:val="both"/>
        <w:rPr/>
      </w:pPr>
      <w:r>
        <w:rPr>
          <w:rFonts w:eastAsia="Times New Roman" w:cs="Times New Roman" w:ascii="Times New Roman" w:hAnsi="Times New Roman"/>
        </w:rPr>
        <w:t>Разрешение на размещение мест временного хранения отходов дает орган местного самоуправления.</w:t>
      </w:r>
    </w:p>
    <w:p>
      <w:pPr>
        <w:pStyle w:val="Normal"/>
        <w:ind w:firstLine="567"/>
        <w:jc w:val="both"/>
        <w:rPr/>
      </w:pPr>
      <w:r>
        <w:rPr>
          <w:rFonts w:eastAsia="Times New Roman" w:cs="Times New Roman" w:ascii="Times New Roman" w:hAnsi="Times New Roman"/>
        </w:rPr>
        <w:t>9. 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следует возлагать на собственника, вышеперечисленных объектов недвижимости, ответственного за уборку территорий в соответствии с главой 16 настоящих Правил.</w:t>
      </w:r>
    </w:p>
    <w:p>
      <w:pPr>
        <w:pStyle w:val="Normal"/>
        <w:ind w:firstLine="567"/>
        <w:jc w:val="both"/>
        <w:rPr/>
      </w:pPr>
      <w:r>
        <w:rPr>
          <w:rFonts w:eastAsia="Times New Roman" w:cs="Times New Roman" w:ascii="Times New Roman" w:hAnsi="Times New Roman"/>
        </w:rPr>
        <w:t>10. Для предотвращения засорения улиц, площадей, скверов и других общественных мест отходами производства и потребления рекомендуется устанавливать специально предназначенные для временного хранения отходов емкости малого размера (урны, баки).</w:t>
      </w:r>
    </w:p>
    <w:p>
      <w:pPr>
        <w:pStyle w:val="Normal"/>
        <w:ind w:firstLine="567"/>
        <w:jc w:val="both"/>
        <w:rPr/>
      </w:pPr>
      <w:r>
        <w:rPr>
          <w:rFonts w:eastAsia="Times New Roman" w:cs="Times New Roman" w:ascii="Times New Roman" w:hAnsi="Times New Roman"/>
        </w:rPr>
        <w:t>Установку емкостей для временного хранения отходов производства и потребления и их очистку следует осуществлять лицами, ответственными за уборку соответствующих территорий в соответствии с</w:t>
      </w:r>
      <w:r>
        <w:rPr>
          <w:rFonts w:cs="Times New Roman" w:ascii="Times New Roman" w:hAnsi="Times New Roman"/>
        </w:rPr>
        <w:t xml:space="preserve"> частью 1 данной статьи</w:t>
      </w:r>
    </w:p>
    <w:p>
      <w:pPr>
        <w:pStyle w:val="Normal"/>
        <w:ind w:firstLine="567"/>
        <w:jc w:val="both"/>
        <w:rPr/>
      </w:pPr>
      <w:r>
        <w:rPr>
          <w:rFonts w:eastAsia="Times New Roman" w:cs="Times New Roman" w:ascii="Times New Roman" w:hAnsi="Times New Roman"/>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pPr>
        <w:pStyle w:val="Normal"/>
        <w:ind w:firstLine="567"/>
        <w:jc w:val="both"/>
        <w:rPr/>
      </w:pPr>
      <w:r>
        <w:rPr>
          <w:rFonts w:eastAsia="Times New Roman" w:cs="Times New Roman" w:ascii="Times New Roman" w:hAnsi="Times New Roman"/>
        </w:rPr>
        <w:t>11. 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мусоровозный транспорт, рекомендуется производить работниками организации, осуществляющей вывоз отходов.</w:t>
      </w:r>
    </w:p>
    <w:p>
      <w:pPr>
        <w:pStyle w:val="Normal"/>
        <w:ind w:firstLine="567"/>
        <w:jc w:val="both"/>
        <w:rPr/>
      </w:pPr>
      <w:r>
        <w:rPr>
          <w:rFonts w:eastAsia="Times New Roman" w:cs="Times New Roman" w:ascii="Times New Roman" w:hAnsi="Times New Roman"/>
        </w:rPr>
        <w:t>12. 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pPr>
        <w:pStyle w:val="Normal"/>
        <w:ind w:firstLine="567"/>
        <w:jc w:val="both"/>
        <w:rPr/>
      </w:pPr>
      <w:r>
        <w:rPr>
          <w:rFonts w:eastAsia="Times New Roman" w:cs="Times New Roman" w:ascii="Times New Roman" w:hAnsi="Times New Roman"/>
        </w:rPr>
        <w:t>Вывоз опасных отходов следует осуществлять организациями, имеющими лицензию, в соответствии с требованиями законодательства Российской Федерации.</w:t>
      </w:r>
    </w:p>
    <w:p>
      <w:pPr>
        <w:pStyle w:val="Normal"/>
        <w:ind w:firstLine="567"/>
        <w:jc w:val="both"/>
        <w:rPr/>
      </w:pPr>
      <w:r>
        <w:rPr>
          <w:rFonts w:eastAsia="Times New Roman" w:cs="Times New Roman" w:ascii="Times New Roman" w:hAnsi="Times New Roman"/>
        </w:rPr>
        <w:t>13. При уборке в ночное время следует принимать меры, предупреждающие шум.</w:t>
      </w:r>
    </w:p>
    <w:p>
      <w:pPr>
        <w:pStyle w:val="Normal"/>
        <w:ind w:firstLine="567"/>
        <w:jc w:val="both"/>
        <w:rPr/>
      </w:pPr>
      <w:r>
        <w:rPr>
          <w:rFonts w:eastAsia="Times New Roman" w:cs="Times New Roman" w:ascii="Times New Roman" w:hAnsi="Times New Roman"/>
        </w:rPr>
        <w:t>14. Уборку и очистку автобусных остановок рекомендуется производить организациям, в обязанность которых входит </w:t>
      </w:r>
      <w:r>
        <w:fldChar w:fldCharType="begin"/>
      </w:r>
      <w:r>
        <w:instrText> HYPERLINK "http://www.garant.ru/products/ipo/prime/doc/70018446/" \l "2131020"</w:instrText>
      </w:r>
      <w:r>
        <w:fldChar w:fldCharType="separate"/>
      </w:r>
      <w:r>
        <w:rPr>
          <w:rStyle w:val="Style5"/>
          <w:rFonts w:eastAsia="Times New Roman" w:cs="Times New Roman" w:ascii="Times New Roman" w:hAnsi="Times New Roman"/>
        </w:rPr>
        <w:t>уборка территорий</w:t>
      </w:r>
      <w:r>
        <w:fldChar w:fldCharType="end"/>
      </w:r>
      <w:r>
        <w:rPr>
          <w:rFonts w:eastAsia="Times New Roman" w:cs="Times New Roman" w:ascii="Times New Roman" w:hAnsi="Times New Roman"/>
        </w:rPr>
        <w:t> улиц, на которых расположены эти остановки.</w:t>
      </w:r>
    </w:p>
    <w:p>
      <w:pPr>
        <w:pStyle w:val="Normal"/>
        <w:ind w:firstLine="567"/>
        <w:jc w:val="both"/>
        <w:rPr/>
      </w:pPr>
      <w:r>
        <w:rPr>
          <w:rFonts w:eastAsia="Times New Roman" w:cs="Times New Roman" w:ascii="Times New Roman" w:hAnsi="Times New Roman"/>
        </w:rPr>
        <w:t>15. Уборку и очистку конечных автобусных остановок, территорий диспетчерских пунктов рекомендуется обеспечивать организацией, эксплуатирующие данные объекты.</w:t>
      </w:r>
    </w:p>
    <w:p>
      <w:pPr>
        <w:pStyle w:val="Normal"/>
        <w:ind w:firstLine="567"/>
        <w:jc w:val="both"/>
        <w:rPr/>
      </w:pPr>
      <w:r>
        <w:rPr>
          <w:rFonts w:eastAsia="Times New Roman" w:cs="Times New Roman" w:ascii="Times New Roman" w:hAnsi="Times New Roman"/>
        </w:rPr>
        <w:t>Уборку и очистку остановок, на которых расположены некапитальные объекты торговли, рекомендуется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w:t>
      </w:r>
    </w:p>
    <w:p>
      <w:pPr>
        <w:pStyle w:val="Normal"/>
        <w:ind w:firstLine="567"/>
        <w:jc w:val="both"/>
        <w:rPr/>
      </w:pPr>
      <w:r>
        <w:rPr>
          <w:rFonts w:eastAsia="Times New Roman" w:cs="Times New Roman" w:ascii="Times New Roman" w:hAnsi="Times New Roman"/>
        </w:rPr>
        <w:t>Границу прилегающих территорий рекомендуется определять:</w:t>
      </w:r>
    </w:p>
    <w:p>
      <w:pPr>
        <w:pStyle w:val="Normal"/>
        <w:ind w:firstLine="567"/>
        <w:jc w:val="both"/>
        <w:rPr/>
      </w:pPr>
      <w:r>
        <w:rPr>
          <w:rFonts w:eastAsia="Times New Roman" w:cs="Times New Roman" w:ascii="Times New Roman" w:hAnsi="Times New Roman"/>
        </w:rPr>
        <w:t>- на улицах с двухсторонней застройкой по длине занимаемого участка, по ширине - до оси проезжей части улицы;</w:t>
      </w:r>
    </w:p>
    <w:p>
      <w:pPr>
        <w:pStyle w:val="Normal"/>
        <w:ind w:firstLine="567"/>
        <w:jc w:val="both"/>
        <w:rPr/>
      </w:pPr>
      <w:r>
        <w:rPr>
          <w:rFonts w:eastAsia="Times New Roman" w:cs="Times New Roman" w:ascii="Times New Roman" w:hAnsi="Times New Roman"/>
        </w:rPr>
        <w:t>- на улицах с односторонней застройкой по длине занимаемого участка, а по ширине - на всю ширину улицы, включая противоположный тротуар и 10 метров за тротуаром;</w:t>
      </w:r>
    </w:p>
    <w:p>
      <w:pPr>
        <w:pStyle w:val="Normal"/>
        <w:ind w:firstLine="567"/>
        <w:jc w:val="both"/>
        <w:rPr/>
      </w:pPr>
      <w:r>
        <w:rPr>
          <w:rFonts w:eastAsia="Times New Roman" w:cs="Times New Roman" w:ascii="Times New Roman" w:hAnsi="Times New Roman"/>
        </w:rPr>
        <w:t>- на дорогах, подходах и подъездных путях к промышленным организациям, а также к земельным участкам - по всей длине дороги, включая 10-метровую зеленую зону;</w:t>
      </w:r>
    </w:p>
    <w:p>
      <w:pPr>
        <w:pStyle w:val="Normal"/>
        <w:ind w:firstLine="567"/>
        <w:jc w:val="both"/>
        <w:rPr/>
      </w:pPr>
      <w:r>
        <w:rPr>
          <w:rFonts w:eastAsia="Times New Roman" w:cs="Times New Roman" w:ascii="Times New Roman" w:hAnsi="Times New Roman"/>
        </w:rPr>
        <w:t>- на строительных площадках - территория не менее 15 метров от ограждения стройки по всему периметру;</w:t>
      </w:r>
    </w:p>
    <w:p>
      <w:pPr>
        <w:pStyle w:val="Normal"/>
        <w:ind w:firstLine="567"/>
        <w:jc w:val="both"/>
        <w:rPr/>
      </w:pPr>
      <w:r>
        <w:rPr>
          <w:rFonts w:eastAsia="Times New Roman" w:cs="Times New Roman" w:ascii="Times New Roman" w:hAnsi="Times New Roman"/>
        </w:rPr>
        <w:t>- для некапитальных объектов торговли, общественного питания и обслуживания - в радиусе не менее 10 метров.</w:t>
      </w:r>
    </w:p>
    <w:p>
      <w:pPr>
        <w:pStyle w:val="Normal"/>
        <w:ind w:firstLine="567"/>
        <w:jc w:val="both"/>
        <w:rPr/>
      </w:pPr>
      <w:r>
        <w:rPr>
          <w:rFonts w:eastAsia="Times New Roman" w:cs="Times New Roman" w:ascii="Times New Roman" w:hAnsi="Times New Roman"/>
        </w:rPr>
        <w:t>16. Эксплуатацию и содержание в надлежащем санитарно-техническом состоянии водоразборных колонок, в том числе их очистку от мусора, льда и снега, а также обеспечение безопасных подходов к ним рекомендуется возлагать на организации, в чьей собственности находятся колонки.</w:t>
      </w:r>
    </w:p>
    <w:p>
      <w:pPr>
        <w:pStyle w:val="Normal"/>
        <w:ind w:firstLine="567"/>
        <w:jc w:val="both"/>
        <w:rPr/>
      </w:pPr>
      <w:r>
        <w:rPr>
          <w:rFonts w:eastAsia="Times New Roman" w:cs="Times New Roman" w:ascii="Times New Roman" w:hAnsi="Times New Roman"/>
        </w:rPr>
        <w:t>17. Организацию работы по очистке и уборке территории рынков и прилегающих к ним территорий рекомендуется возлагать на администрации рынков в соответствии с действующими санитарными нормами и правилами торговли на рынках.</w:t>
      </w:r>
    </w:p>
    <w:p>
      <w:pPr>
        <w:pStyle w:val="Normal"/>
        <w:ind w:firstLine="567"/>
        <w:jc w:val="both"/>
        <w:rPr/>
      </w:pPr>
      <w:r>
        <w:rPr>
          <w:rFonts w:eastAsia="Times New Roman" w:cs="Times New Roman" w:ascii="Times New Roman" w:hAnsi="Times New Roman"/>
        </w:rPr>
        <w:t>18. Содержание и уборку скверов и прилегающих к ним тротуаров, проездов и газонов рекомендуется осуществлять специализированным организациям по озеленению территории ВТРК "Архыз" по соглашению с органом местного самоуправления за счет средств, предусмотренных в бюджете ВТРК "Архыз" на соответствующий финансовый год на эти цели.</w:t>
      </w:r>
    </w:p>
    <w:p>
      <w:pPr>
        <w:pStyle w:val="Normal"/>
        <w:ind w:firstLine="567"/>
        <w:jc w:val="both"/>
        <w:rPr/>
      </w:pPr>
      <w:r>
        <w:rPr>
          <w:rFonts w:eastAsia="Times New Roman" w:cs="Times New Roman" w:ascii="Times New Roman" w:hAnsi="Times New Roman"/>
        </w:rPr>
        <w:t>19. Содержание и уборку садов, скверов, парков, зеленых насаждений, находящихся в собственности организаций, собственников помещений либо на прилегающих территориях, рекомендуется производить силами и средствами этих организаций, собственников помещений самостоятельно или по договорам со специализированными организациями под контролем органов местного самоуправления.</w:t>
      </w:r>
    </w:p>
    <w:p>
      <w:pPr>
        <w:pStyle w:val="Normal"/>
        <w:ind w:firstLine="567"/>
        <w:jc w:val="both"/>
        <w:rPr/>
      </w:pPr>
      <w:r>
        <w:rPr>
          <w:rFonts w:eastAsia="Times New Roman" w:cs="Times New Roman" w:ascii="Times New Roman" w:hAnsi="Times New Roman"/>
        </w:rPr>
        <w:t>20. Уборку мостов, путепроводов, пешеходных переходов, виадуков, прилегающих к ним территорий, а также содержание коллекторов, труб ливневой канализации и дождеприемных колодцев рекомендуется производить организациям, обслуживающим данные объекты.</w:t>
      </w:r>
    </w:p>
    <w:p>
      <w:pPr>
        <w:pStyle w:val="Normal"/>
        <w:ind w:firstLine="567"/>
        <w:jc w:val="both"/>
        <w:rPr/>
      </w:pPr>
      <w:r>
        <w:rPr>
          <w:rFonts w:eastAsia="Times New Roman" w:cs="Times New Roman" w:ascii="Times New Roman" w:hAnsi="Times New Roman"/>
        </w:rPr>
        <w:t>21. В зданиях, не имеющих канализации, рекомендуется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pPr>
        <w:pStyle w:val="Normal"/>
        <w:ind w:firstLine="567"/>
        <w:jc w:val="both"/>
        <w:rPr/>
      </w:pPr>
      <w:r>
        <w:rPr>
          <w:rFonts w:eastAsia="Times New Roman" w:cs="Times New Roman" w:ascii="Times New Roman" w:hAnsi="Times New Roman"/>
        </w:rPr>
        <w:t>Рекомендуется устанавливать запрет на установку устройств наливных помоек, разлив помоев и нечистот за территорией домов и улиц, вынос отходов производства и потребления на уличные проезды.</w:t>
      </w:r>
    </w:p>
    <w:p>
      <w:pPr>
        <w:pStyle w:val="Normal"/>
        <w:ind w:firstLine="567"/>
        <w:jc w:val="both"/>
        <w:rPr/>
      </w:pPr>
      <w:r>
        <w:rPr>
          <w:rFonts w:eastAsia="Times New Roman" w:cs="Times New Roman" w:ascii="Times New Roman" w:hAnsi="Times New Roman"/>
        </w:rPr>
        <w:t>22. Жидкие нечистоты следует вывозить по договорам или разовым заявкам организациям, имеющим специальный транспорт.</w:t>
      </w:r>
    </w:p>
    <w:p>
      <w:pPr>
        <w:pStyle w:val="Normal"/>
        <w:ind w:firstLine="567"/>
        <w:jc w:val="both"/>
        <w:rPr/>
      </w:pPr>
      <w:r>
        <w:rPr>
          <w:rFonts w:eastAsia="Times New Roman" w:cs="Times New Roman" w:ascii="Times New Roman" w:hAnsi="Times New Roman"/>
        </w:rPr>
        <w:t>23. Рекомендовать собственникам помещений обеспечивать подъезды непосредственно к мусоросборникам и выгребным ямам.</w:t>
      </w:r>
    </w:p>
    <w:p>
      <w:pPr>
        <w:pStyle w:val="Normal"/>
        <w:ind w:firstLine="567"/>
        <w:jc w:val="both"/>
        <w:rPr/>
      </w:pPr>
      <w:r>
        <w:rPr>
          <w:rFonts w:eastAsia="Times New Roman" w:cs="Times New Roman" w:ascii="Times New Roman" w:hAnsi="Times New Roman"/>
        </w:rPr>
        <w:t>24. Очистку и уборку водосточных канав, лотков, труб, дренажей, предназначенных для отвода поверхностных и грунтовых вод из дворов рекомендуется производить лицами, указанными в части 1 данной статьи.</w:t>
      </w:r>
    </w:p>
    <w:p>
      <w:pPr>
        <w:pStyle w:val="Normal"/>
        <w:ind w:firstLine="567"/>
        <w:jc w:val="both"/>
        <w:rPr/>
      </w:pPr>
      <w:r>
        <w:rPr>
          <w:rFonts w:eastAsia="Times New Roman" w:cs="Times New Roman" w:ascii="Times New Roman" w:hAnsi="Times New Roman"/>
        </w:rPr>
        <w:t>25. Слив воды на тротуары, газоны, проезжую часть дороги не должен допускаться,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pPr>
        <w:pStyle w:val="Normal"/>
        <w:ind w:firstLine="567"/>
        <w:jc w:val="both"/>
        <w:rPr/>
      </w:pPr>
      <w:r>
        <w:rPr>
          <w:rFonts w:eastAsia="Times New Roman" w:cs="Times New Roman" w:ascii="Times New Roman" w:hAnsi="Times New Roman"/>
        </w:rPr>
        <w:t>26. Вывоз пищевых отходов следует осуществлять с территории ежедневно. Остальной мусор рекомендуется вывозить систематически, по мере накопления, но не реже одного раза в три дня, а в периоды года с температурой выше 14 градусов - ежедневно.</w:t>
      </w:r>
    </w:p>
    <w:p>
      <w:pPr>
        <w:pStyle w:val="Normal"/>
        <w:ind w:firstLine="567"/>
        <w:jc w:val="both"/>
        <w:rPr/>
      </w:pPr>
      <w:r>
        <w:rPr>
          <w:rFonts w:eastAsia="Times New Roman" w:cs="Times New Roman" w:ascii="Times New Roman" w:hAnsi="Times New Roman"/>
        </w:rPr>
        <w:t>27. Содержание и эксплуатацию санкционированных мест хранения и утилизации отходов производства и потребления рекомендуется осуществлять в установленном порядке.</w:t>
      </w:r>
    </w:p>
    <w:p>
      <w:pPr>
        <w:pStyle w:val="Normal"/>
        <w:ind w:firstLine="567"/>
        <w:jc w:val="both"/>
        <w:rPr/>
      </w:pPr>
      <w:r>
        <w:rPr>
          <w:rFonts w:eastAsia="Times New Roman" w:cs="Times New Roman" w:ascii="Times New Roman" w:hAnsi="Times New Roman"/>
        </w:rPr>
        <w:t>28. Уборку и очистку территорий, отведенных для размещения и эксплуатации линий электропередач, газовых, водопроводных и тепловых сетей, рекомендуется осуществлять силами и средствами организаций, эксплуатирующими указанные сети и линии электропередач. В случае, если указанные в данном пункте сети являются бесхозяйными, уборку и очистку территорий рекомендуется осуществлять организацией, с которой заключен договор об обеспечении сохранности и эксплуатации бесхозяйного имущества.</w:t>
      </w:r>
    </w:p>
    <w:p>
      <w:pPr>
        <w:pStyle w:val="Normal"/>
        <w:ind w:firstLine="567"/>
        <w:jc w:val="both"/>
        <w:rPr/>
      </w:pPr>
      <w:r>
        <w:rPr>
          <w:rFonts w:eastAsia="Times New Roman" w:cs="Times New Roman" w:ascii="Times New Roman" w:hAnsi="Times New Roman"/>
        </w:rPr>
        <w:t>29. При очистке смотровых колодцев, подземных коммуникаций грунт, мусор, нечистоты рекомендуется складировать в специальную тару с немедленной вывозкой силами организаций, занимающихся очистными работами.</w:t>
      </w:r>
    </w:p>
    <w:p>
      <w:pPr>
        <w:pStyle w:val="Normal"/>
        <w:ind w:firstLine="567"/>
        <w:jc w:val="both"/>
        <w:rPr/>
      </w:pPr>
      <w:r>
        <w:rPr>
          <w:rFonts w:eastAsia="Times New Roman" w:cs="Times New Roman" w:ascii="Times New Roman" w:hAnsi="Times New Roman"/>
        </w:rPr>
        <w:t>Складирование нечистот на проезжую часть улиц, тротуары и газоны следует запрещать.</w:t>
      </w:r>
    </w:p>
    <w:p>
      <w:pPr>
        <w:pStyle w:val="Normal"/>
        <w:ind w:firstLine="567"/>
        <w:jc w:val="both"/>
        <w:rPr/>
      </w:pPr>
      <w:r>
        <w:rPr>
          <w:rFonts w:eastAsia="Times New Roman" w:cs="Times New Roman" w:ascii="Times New Roman" w:hAnsi="Times New Roman"/>
        </w:rPr>
        <w:t>30. Сбор брошенных на улицах предметов, создающих помехи дорожному движению, рекомендуется возлагать на организации, обслуживающие данные объекты.</w:t>
      </w:r>
    </w:p>
    <w:p>
      <w:pPr>
        <w:pStyle w:val="Normal"/>
        <w:ind w:firstLine="567"/>
        <w:jc w:val="both"/>
        <w:rPr/>
      </w:pPr>
      <w:r>
        <w:rPr>
          <w:rFonts w:eastAsia="Times New Roman" w:cs="Times New Roman" w:ascii="Times New Roman" w:hAnsi="Times New Roman"/>
        </w:rPr>
        <w:t>31. Органы местного самоуправления могут на добровольной основе привлекать граждан для выполнения работ по уборке, благоустройству и озеленению территории муниципального образования.</w:t>
      </w:r>
    </w:p>
    <w:p>
      <w:pPr>
        <w:pStyle w:val="Normal"/>
        <w:ind w:firstLine="567"/>
        <w:jc w:val="both"/>
        <w:rPr/>
      </w:pPr>
      <w:r>
        <w:rPr>
          <w:rFonts w:eastAsia="Times New Roman" w:cs="Times New Roman" w:ascii="Times New Roman" w:hAnsi="Times New Roman"/>
        </w:rPr>
        <w:t>Привлечение граждан к выполнению работ по уборке, благоустройству и озеленению территории муниципального образования следует осуществлять на основании постановления администрации муниципального образования.</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20" w:name="_Toc424230716"/>
      <w:bookmarkEnd w:id="320"/>
      <w:r>
        <w:rPr>
          <w:rFonts w:eastAsia="Times New Roman" w:cs="Times New Roman"/>
        </w:rPr>
        <w:t>Статья 70. Особенности уборки территории в весенне-летний период</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Весенне-летнюю уборку территории рекомендуется производить с 15 апреля по 15 октября и предусматривать мойку, полив и подметание проезжей части улиц, тротуаров, площадей.</w:t>
      </w:r>
    </w:p>
    <w:p>
      <w:pPr>
        <w:pStyle w:val="Normal"/>
        <w:ind w:firstLine="567"/>
        <w:jc w:val="both"/>
        <w:rPr/>
      </w:pPr>
      <w:r>
        <w:rPr>
          <w:rFonts w:eastAsia="Times New Roman" w:cs="Times New Roman" w:ascii="Times New Roman" w:hAnsi="Times New Roman"/>
        </w:rPr>
        <w:t>В зависимости от климатических условий постановлением администрации ВТРК "Архыз" период весенне-летней уборки может быть изменен.</w:t>
      </w:r>
    </w:p>
    <w:p>
      <w:pPr>
        <w:pStyle w:val="Normal"/>
        <w:ind w:firstLine="567"/>
        <w:jc w:val="both"/>
        <w:rPr/>
      </w:pPr>
      <w:r>
        <w:rPr>
          <w:rFonts w:eastAsia="Times New Roman" w:cs="Times New Roman" w:ascii="Times New Roman" w:hAnsi="Times New Roman"/>
        </w:rPr>
        <w:t>2. Мойке следует подвергать всю ширину проезжей части улиц и площадей.</w:t>
      </w:r>
    </w:p>
    <w:p>
      <w:pPr>
        <w:pStyle w:val="Normal"/>
        <w:ind w:firstLine="567"/>
        <w:jc w:val="both"/>
        <w:rPr/>
      </w:pPr>
      <w:r>
        <w:rPr>
          <w:rFonts w:eastAsia="Times New Roman" w:cs="Times New Roman" w:ascii="Times New Roman" w:hAnsi="Times New Roman"/>
        </w:rPr>
        <w:t>3. Уборку лотков и бордюр от песка, пыли, мусора после мойки рекомендуется заканчивать к 7 часам утра.</w:t>
      </w:r>
    </w:p>
    <w:p>
      <w:pPr>
        <w:pStyle w:val="Normal"/>
        <w:ind w:firstLine="567"/>
        <w:jc w:val="both"/>
        <w:rPr/>
      </w:pPr>
      <w:r>
        <w:rPr>
          <w:rFonts w:eastAsia="Times New Roman" w:cs="Times New Roman" w:ascii="Times New Roman" w:hAnsi="Times New Roman"/>
        </w:rPr>
        <w:t>4. Мойку и поливку тротуаров и дворовых территорий, зеленых насаждений и газонов рекомендуется производить силами организаций и собственниками помещений.</w:t>
      </w:r>
    </w:p>
    <w:p>
      <w:pPr>
        <w:pStyle w:val="Normal"/>
        <w:ind w:firstLine="567"/>
        <w:jc w:val="both"/>
        <w:rPr/>
      </w:pPr>
      <w:r>
        <w:rPr>
          <w:rFonts w:eastAsia="Times New Roman" w:cs="Times New Roman" w:ascii="Times New Roman" w:hAnsi="Times New Roman"/>
        </w:rPr>
        <w:t>5. Мойку дорожных покрытий и тротуаров, а также подметание тротуаров рекомендуется производить с 23 часов до 7 часов утра, а влажное подметание проезжей части улиц рекомендуется производить по мере необходимости с 9 часов утра до 21 часа.</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21" w:name="_Toc424230717"/>
      <w:bookmarkEnd w:id="321"/>
      <w:r>
        <w:rPr>
          <w:rFonts w:eastAsia="Times New Roman" w:cs="Times New Roman"/>
        </w:rPr>
        <w:t>Статья 71. Особенности уборки территории в осенне-зимний период</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Осенне-зимнюю уборку территории рекомендуется проводить с 15 октября по 15 апреля и предусматривать уборку и вывоз мусора, посыпку улиц песком.</w:t>
      </w:r>
    </w:p>
    <w:p>
      <w:pPr>
        <w:pStyle w:val="Normal"/>
        <w:ind w:firstLine="567"/>
        <w:jc w:val="both"/>
        <w:rPr/>
      </w:pPr>
      <w:r>
        <w:rPr>
          <w:rFonts w:eastAsia="Times New Roman" w:cs="Times New Roman" w:ascii="Times New Roman" w:hAnsi="Times New Roman"/>
        </w:rPr>
        <w:t>В зависимости от климатических условий постановлением администрации ВТРК "Архыз" период осенне-зимней уборки может быть изменен.</w:t>
      </w:r>
    </w:p>
    <w:p>
      <w:pPr>
        <w:pStyle w:val="Normal"/>
        <w:ind w:firstLine="567"/>
        <w:jc w:val="both"/>
        <w:rPr/>
      </w:pPr>
      <w:r>
        <w:rPr>
          <w:rFonts w:eastAsia="Times New Roman" w:cs="Times New Roman" w:ascii="Times New Roman" w:hAnsi="Times New Roman"/>
        </w:rPr>
        <w:t>2. Укладку свежевыпавшего снега в валы и кучи следует разрешать на всех улицах, площадях, набережных, бульварах и скверах с последующей вывозкой.</w:t>
      </w:r>
    </w:p>
    <w:p>
      <w:pPr>
        <w:pStyle w:val="Normal"/>
        <w:ind w:firstLine="567"/>
        <w:jc w:val="both"/>
        <w:rPr/>
      </w:pPr>
      <w:r>
        <w:rPr>
          <w:rFonts w:eastAsia="Times New Roman" w:cs="Times New Roman" w:ascii="Times New Roman" w:hAnsi="Times New Roman"/>
        </w:rPr>
        <w:t>3. 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pPr>
        <w:pStyle w:val="Normal"/>
        <w:ind w:firstLine="567"/>
        <w:jc w:val="both"/>
        <w:rPr/>
      </w:pPr>
      <w:r>
        <w:rPr>
          <w:rFonts w:eastAsia="Times New Roman" w:cs="Times New Roman" w:ascii="Times New Roman" w:hAnsi="Times New Roman"/>
        </w:rPr>
        <w:t>4. Посыпку песком следует начинать немедленно с начала снегопада или появления гололеда.</w:t>
      </w:r>
    </w:p>
    <w:p>
      <w:pPr>
        <w:pStyle w:val="Normal"/>
        <w:ind w:firstLine="567"/>
        <w:jc w:val="both"/>
        <w:rPr/>
      </w:pPr>
      <w:r>
        <w:rPr>
          <w:rFonts w:eastAsia="Times New Roman" w:cs="Times New Roman" w:ascii="Times New Roman" w:hAnsi="Times New Roman"/>
        </w:rPr>
        <w:t>В первую очередь при гололеде посыпаются спуски, подъемы, перекрестки, места остановок общественного транспорта, пешеходные переходы.</w:t>
      </w:r>
    </w:p>
    <w:p>
      <w:pPr>
        <w:pStyle w:val="Normal"/>
        <w:ind w:firstLine="567"/>
        <w:jc w:val="both"/>
        <w:rPr/>
      </w:pPr>
      <w:r>
        <w:rPr>
          <w:rFonts w:eastAsia="Times New Roman" w:cs="Times New Roman" w:ascii="Times New Roman" w:hAnsi="Times New Roman"/>
        </w:rPr>
        <w:t>Тротуары рекомендуется посыпать сухим песком.</w:t>
      </w:r>
    </w:p>
    <w:p>
      <w:pPr>
        <w:pStyle w:val="Normal"/>
        <w:ind w:firstLine="567"/>
        <w:jc w:val="both"/>
        <w:rPr/>
      </w:pPr>
      <w:r>
        <w:rPr>
          <w:rFonts w:eastAsia="Times New Roman" w:cs="Times New Roman" w:ascii="Times New Roman" w:hAnsi="Times New Roman"/>
        </w:rPr>
        <w:t>5. 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pPr>
        <w:pStyle w:val="Normal"/>
        <w:ind w:firstLine="567"/>
        <w:jc w:val="both"/>
        <w:rPr/>
      </w:pPr>
      <w:r>
        <w:rPr>
          <w:rFonts w:eastAsia="Times New Roman" w:cs="Times New Roman" w:ascii="Times New Roman" w:hAnsi="Times New Roman"/>
        </w:rPr>
        <w:t>Снег, сброшенный с крыш, следует немедленно вывозить.</w:t>
      </w:r>
    </w:p>
    <w:p>
      <w:pPr>
        <w:pStyle w:val="Normal"/>
        <w:ind w:firstLine="567"/>
        <w:jc w:val="both"/>
        <w:rPr/>
      </w:pPr>
      <w:r>
        <w:rPr>
          <w:rFonts w:eastAsia="Times New Roman" w:cs="Times New Roman" w:ascii="Times New Roman" w:hAnsi="Times New Roman"/>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pPr>
        <w:pStyle w:val="Normal"/>
        <w:ind w:firstLine="567"/>
        <w:jc w:val="both"/>
        <w:rPr/>
      </w:pPr>
      <w:r>
        <w:rPr>
          <w:rFonts w:eastAsia="Times New Roman" w:cs="Times New Roman" w:ascii="Times New Roman" w:hAnsi="Times New Roman"/>
        </w:rPr>
        <w:t>6. 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pPr>
        <w:pStyle w:val="Normal"/>
        <w:ind w:firstLine="567"/>
        <w:jc w:val="both"/>
        <w:rPr/>
      </w:pPr>
      <w:r>
        <w:rPr>
          <w:rFonts w:eastAsia="Times New Roman" w:cs="Times New Roman" w:ascii="Times New Roman" w:hAnsi="Times New Roman"/>
        </w:rPr>
        <w:t>7. Вывоз снега следует разрешать только на специально отведенные места отвала.</w:t>
      </w:r>
    </w:p>
    <w:p>
      <w:pPr>
        <w:pStyle w:val="Normal"/>
        <w:ind w:firstLine="567"/>
        <w:jc w:val="both"/>
        <w:rPr/>
      </w:pPr>
      <w:r>
        <w:rPr>
          <w:rFonts w:eastAsia="Times New Roman" w:cs="Times New Roman" w:ascii="Times New Roman" w:hAnsi="Times New Roman"/>
        </w:rPr>
        <w:t>Места отвала снега рекомендуется обеспечить удобными подъездами, необходимыми механизмами для складирования снега.</w:t>
      </w:r>
    </w:p>
    <w:p>
      <w:pPr>
        <w:pStyle w:val="Normal"/>
        <w:ind w:firstLine="567"/>
        <w:jc w:val="both"/>
        <w:rPr/>
      </w:pPr>
      <w:r>
        <w:rPr>
          <w:rFonts w:eastAsia="Times New Roman" w:cs="Times New Roman" w:ascii="Times New Roman" w:hAnsi="Times New Roman"/>
        </w:rPr>
        <w:t>8. Уборку и вывозка снега и льда с улиц, площадей, мостов, плотин, скверов и бульваров рекомендуется начинать немедленно с начала снегопада и производить, в первую очередь, с магистральных улиц, автобусных трасс, мостов, плотин и путепроводов для обеспечения бесперебойного движения транспорта во избежание наката.</w:t>
      </w:r>
    </w:p>
    <w:p>
      <w:pPr>
        <w:pStyle w:val="Normal"/>
        <w:ind w:firstLine="567"/>
        <w:jc w:val="both"/>
        <w:rPr/>
      </w:pPr>
      <w:r>
        <w:rPr>
          <w:rFonts w:eastAsia="Times New Roman" w:cs="Times New Roman" w:ascii="Times New Roman" w:hAnsi="Times New Roman"/>
        </w:rPr>
        <w:t>9. При уборке улиц, проездов, площадей специализированными организациями лицам, указанным в части 1 данной статьи, рекомендовать обеспечивать после прохождения снегоочистительной техники уборку прибордюрных лотков и расчистку въездов, пешеходных переходов, как со стороны строений, так и с противоположной стороны проезда, если там нет других строений.</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22" w:name="_Toc424230718"/>
      <w:bookmarkEnd w:id="322"/>
      <w:r>
        <w:rPr>
          <w:rFonts w:eastAsia="Times New Roman" w:cs="Times New Roman"/>
        </w:rPr>
        <w:t>Статья 72. Порядок содержания элементов благоустройства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Содержание элементов благоустройства, включая работы по восстановлению и ремонту памятников, мемориалов, рекомендуется осуществлять физическими и (или) юридическими лицами, независимо от их организационно-правовых форм, владеющими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pPr>
        <w:pStyle w:val="Normal"/>
        <w:ind w:firstLine="567"/>
        <w:jc w:val="both"/>
        <w:rPr/>
      </w:pPr>
      <w:r>
        <w:rPr>
          <w:rFonts w:eastAsia="Times New Roman" w:cs="Times New Roman" w:ascii="Times New Roman" w:hAnsi="Times New Roman"/>
        </w:rPr>
        <w:t>Физическим и юридическим лицам следует рекомендовать осуществлять организацию содержания элементов благоустройства, расположенных на прилегающих территориях.</w:t>
      </w:r>
    </w:p>
    <w:p>
      <w:pPr>
        <w:pStyle w:val="Normal"/>
        <w:ind w:firstLine="567"/>
        <w:jc w:val="both"/>
        <w:rPr/>
      </w:pPr>
      <w:r>
        <w:rPr>
          <w:rFonts w:eastAsia="Times New Roman" w:cs="Times New Roman" w:ascii="Times New Roman" w:hAnsi="Times New Roman"/>
        </w:rPr>
        <w:t>Организацию содержания иных элементов благоустройства следует рекомендовать осуществлять администрации ВТРК "Архыз" по соглашениям со специализированными организациями в пределах средств, предусмотренных на эти цели в бюджете ВТРК "Архыз".</w:t>
      </w:r>
    </w:p>
    <w:p>
      <w:pPr>
        <w:pStyle w:val="Normal"/>
        <w:ind w:firstLine="567"/>
        <w:jc w:val="both"/>
        <w:rPr/>
      </w:pPr>
      <w:r>
        <w:rPr>
          <w:rFonts w:eastAsia="Times New Roman" w:cs="Times New Roman" w:ascii="Times New Roman" w:hAnsi="Times New Roman"/>
        </w:rPr>
        <w:t>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установленном законодательством Российской Федерации, субъекта Российской Федерации, нормативными правовыми актами органов местного самоуправления.</w:t>
      </w:r>
    </w:p>
    <w:p>
      <w:pPr>
        <w:pStyle w:val="Normal"/>
        <w:ind w:firstLine="567"/>
        <w:jc w:val="both"/>
        <w:rPr/>
      </w:pPr>
      <w:r>
        <w:rPr>
          <w:rFonts w:eastAsia="Times New Roman" w:cs="Times New Roman" w:ascii="Times New Roman" w:hAnsi="Times New Roman"/>
        </w:rPr>
        <w:t>Строительные площадки следует ограждать по всему периметру плотным забором установленного образца. В ограждениях рекомендуется предусмотреть минимальное количество проездов.</w:t>
      </w:r>
    </w:p>
    <w:p>
      <w:pPr>
        <w:pStyle w:val="Normal"/>
        <w:ind w:firstLine="567"/>
        <w:jc w:val="both"/>
        <w:rPr/>
      </w:pPr>
      <w:r>
        <w:rPr>
          <w:rFonts w:eastAsia="Times New Roman" w:cs="Times New Roman" w:ascii="Times New Roman" w:hAnsi="Times New Roman"/>
        </w:rPr>
        <w:t>Проезды, как правило, должны выходить на второстепенные улицы и оборудоваться шлагбаумами или воротами.</w:t>
      </w:r>
    </w:p>
    <w:p>
      <w:pPr>
        <w:pStyle w:val="Normal"/>
        <w:ind w:firstLine="567"/>
        <w:jc w:val="both"/>
        <w:rPr/>
      </w:pPr>
      <w:r>
        <w:rPr>
          <w:rFonts w:eastAsia="Times New Roman" w:cs="Times New Roman" w:ascii="Times New Roman" w:hAnsi="Times New Roman"/>
        </w:rPr>
        <w:t>Строительные площадки рекомендуется обеспечить благоустроенной проезжей частью не менее 20 метров у каждого выезда с оборудованием для очистки колес.</w:t>
      </w:r>
    </w:p>
    <w:p>
      <w:pPr>
        <w:pStyle w:val="Normal"/>
        <w:ind w:firstLine="567"/>
        <w:jc w:val="both"/>
        <w:rPr/>
      </w:pPr>
      <w:r>
        <w:rPr>
          <w:rFonts w:eastAsia="Times New Roman" w:cs="Times New Roman" w:ascii="Times New Roman" w:hAnsi="Times New Roman"/>
        </w:rPr>
        <w:t>2. Установку всякого рода вывесок рекомендуется разрешать только после согласования эскизов с администрацией ВТРК "Архыз".</w:t>
      </w:r>
    </w:p>
    <w:p>
      <w:pPr>
        <w:pStyle w:val="Normal"/>
        <w:ind w:firstLine="567"/>
        <w:jc w:val="both"/>
        <w:rPr/>
      </w:pPr>
      <w:r>
        <w:rPr>
          <w:rFonts w:eastAsia="Times New Roman" w:cs="Times New Roman" w:ascii="Times New Roman" w:hAnsi="Times New Roman"/>
        </w:rPr>
        <w:t>Организациям, эксплуатирующим световые рекламы и вывески, рекомендуется ежедневно включать их с наступлением темного времени суток и выключать не ранее времени отключения уличного освещения, но не позднее наступления светового дня, обеспечивать своевременную замену перегоревших газосветовых трубок и электроламп.</w:t>
      </w:r>
    </w:p>
    <w:p>
      <w:pPr>
        <w:pStyle w:val="Normal"/>
        <w:ind w:firstLine="567"/>
        <w:jc w:val="both"/>
        <w:rPr/>
      </w:pPr>
      <w:r>
        <w:rPr>
          <w:rFonts w:eastAsia="Times New Roman" w:cs="Times New Roman" w:ascii="Times New Roman" w:hAnsi="Times New Roman"/>
        </w:rPr>
        <w:t>В случае неисправности отдельных знаков рекламы или вывески рекомендуется выключать полностью.</w:t>
      </w:r>
    </w:p>
    <w:p>
      <w:pPr>
        <w:pStyle w:val="Normal"/>
        <w:ind w:firstLine="567"/>
        <w:jc w:val="both"/>
        <w:rPr/>
      </w:pPr>
      <w:r>
        <w:rPr>
          <w:rFonts w:eastAsia="Times New Roman" w:cs="Times New Roman" w:ascii="Times New Roman" w:hAnsi="Times New Roman"/>
        </w:rPr>
        <w:t>Витрины рекомендуется оборудовать специальными осветительными приборами.</w:t>
      </w:r>
    </w:p>
    <w:p>
      <w:pPr>
        <w:pStyle w:val="Normal"/>
        <w:ind w:firstLine="567"/>
        <w:jc w:val="both"/>
        <w:rPr/>
      </w:pPr>
      <w:r>
        <w:rPr>
          <w:rFonts w:eastAsia="Times New Roman" w:cs="Times New Roman" w:ascii="Times New Roman" w:hAnsi="Times New Roman"/>
        </w:rPr>
        <w:t>Расклейку газет, афиш, плакатов, различного рода объявлений и реклам рекомендуется разрешать только на специально установленных стендах.</w:t>
      </w:r>
    </w:p>
    <w:p>
      <w:pPr>
        <w:pStyle w:val="Normal"/>
        <w:ind w:firstLine="567"/>
        <w:jc w:val="both"/>
        <w:rPr/>
      </w:pPr>
      <w:r>
        <w:rPr>
          <w:rFonts w:eastAsia="Times New Roman" w:cs="Times New Roman" w:ascii="Times New Roman" w:hAnsi="Times New Roman"/>
        </w:rPr>
        <w:t>Очистку от объявлений опор электротранспорта, уличного освещения, цоколя зданий, заборов и других сооружений рекомендуется осуществлять организациями, эксплуатирующие данные объекты.</w:t>
      </w:r>
    </w:p>
    <w:p>
      <w:pPr>
        <w:pStyle w:val="Normal"/>
        <w:ind w:firstLine="567"/>
        <w:jc w:val="both"/>
        <w:rPr/>
      </w:pPr>
      <w:r>
        <w:rPr>
          <w:rFonts w:eastAsia="Times New Roman" w:cs="Times New Roman" w:ascii="Times New Roman" w:hAnsi="Times New Roman"/>
        </w:rPr>
        <w:t>Размещение и эксплуатацию средств наружной рекламы следует осуществлять в порядке, установленном решением представительного органа ВТРК "Архыз".</w:t>
      </w:r>
    </w:p>
    <w:p>
      <w:pPr>
        <w:pStyle w:val="Normal"/>
        <w:ind w:firstLine="567"/>
        <w:jc w:val="both"/>
        <w:rPr/>
      </w:pPr>
      <w:r>
        <w:rPr>
          <w:rFonts w:eastAsia="Times New Roman" w:cs="Times New Roman" w:ascii="Times New Roman" w:hAnsi="Times New Roman"/>
        </w:rPr>
        <w:t>3. Физическим или юридическим лицам следует рекомендовать при содержании малых архитектурных форм, производить их ремонт и окраску, согласовывая кодеры с администрацией ВТРК "Архыз".</w:t>
      </w:r>
    </w:p>
    <w:p>
      <w:pPr>
        <w:pStyle w:val="Normal"/>
        <w:ind w:firstLine="567"/>
        <w:jc w:val="both"/>
        <w:rPr/>
      </w:pPr>
      <w:r>
        <w:rPr>
          <w:rFonts w:eastAsia="Times New Roman" w:cs="Times New Roman" w:ascii="Times New Roman" w:hAnsi="Times New Roman"/>
        </w:rPr>
        <w:t>Окраску и очистку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pPr>
        <w:pStyle w:val="Normal"/>
        <w:ind w:firstLine="567"/>
        <w:jc w:val="both"/>
        <w:rPr/>
      </w:pPr>
      <w:r>
        <w:rPr>
          <w:rFonts w:eastAsia="Times New Roman" w:cs="Times New Roman" w:ascii="Times New Roman" w:hAnsi="Times New Roman"/>
        </w:rPr>
        <w:t>Окраску и очистку каменных, железобетонных и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рекомендуется производить не реже одного раза в два года, а ремонт - по мере необходимости.</w:t>
      </w:r>
    </w:p>
    <w:p>
      <w:pPr>
        <w:pStyle w:val="Normal"/>
        <w:ind w:firstLine="567"/>
        <w:jc w:val="both"/>
        <w:rPr/>
      </w:pPr>
      <w:r>
        <w:rPr>
          <w:rFonts w:eastAsia="Times New Roman" w:cs="Times New Roman" w:ascii="Times New Roman" w:hAnsi="Times New Roman"/>
        </w:rPr>
        <w:t>4. Ремонт и содержание зданий и сооружений.</w:t>
      </w:r>
    </w:p>
    <w:p>
      <w:pPr>
        <w:pStyle w:val="Normal"/>
        <w:ind w:firstLine="567"/>
        <w:jc w:val="both"/>
        <w:rPr/>
      </w:pPr>
      <w:r>
        <w:rPr>
          <w:rFonts w:eastAsia="Times New Roman" w:cs="Times New Roman" w:ascii="Times New Roman" w:hAnsi="Times New Roman"/>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pPr>
        <w:pStyle w:val="Normal"/>
        <w:ind w:firstLine="567"/>
        <w:jc w:val="both"/>
        <w:rPr/>
      </w:pPr>
      <w:r>
        <w:rPr>
          <w:rFonts w:eastAsia="Times New Roman" w:cs="Times New Roman" w:ascii="Times New Roman" w:hAnsi="Times New Roman"/>
        </w:rPr>
        <w:t>Текущий и капитальный ремонт, окраску фасадов зданий и сооружений рекомендуется производить в зависимости от их технического состояния собственниками зданий и сооружений либо по соглашению с собственником иными лицами.</w:t>
      </w:r>
    </w:p>
    <w:p>
      <w:pPr>
        <w:pStyle w:val="Normal"/>
        <w:ind w:firstLine="567"/>
        <w:jc w:val="both"/>
        <w:rPr/>
      </w:pPr>
      <w:r>
        <w:rPr>
          <w:rFonts w:eastAsia="Times New Roman" w:cs="Times New Roman" w:ascii="Times New Roman" w:hAnsi="Times New Roman"/>
        </w:rPr>
        <w:t>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ВТРК "Архыз".</w:t>
      </w:r>
    </w:p>
    <w:p>
      <w:pPr>
        <w:pStyle w:val="Normal"/>
        <w:ind w:firstLine="567"/>
        <w:jc w:val="both"/>
        <w:rPr/>
      </w:pPr>
      <w:r>
        <w:rPr>
          <w:rFonts w:eastAsia="Times New Roman" w:cs="Times New Roman" w:ascii="Times New Roman" w:hAnsi="Times New Roman"/>
        </w:rPr>
        <w:t>Рекомендуется запрещать самовольное возведение хозяйственных и вспомогательных построек без получения соответствующего разрешения администрации ВТРК "Архыз".</w:t>
      </w:r>
    </w:p>
    <w:p>
      <w:pPr>
        <w:pStyle w:val="Normal"/>
        <w:ind w:firstLine="567"/>
        <w:jc w:val="both"/>
        <w:rPr/>
      </w:pPr>
      <w:r>
        <w:rPr>
          <w:rFonts w:eastAsia="Times New Roman" w:cs="Times New Roman" w:ascii="Times New Roman" w:hAnsi="Times New Roman"/>
        </w:rPr>
        <w:t>Рекомендуется запрещать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pPr>
        <w:pStyle w:val="Normal"/>
        <w:ind w:firstLine="567"/>
        <w:jc w:val="both"/>
        <w:rPr/>
      </w:pPr>
      <w:r>
        <w:rPr>
          <w:rFonts w:eastAsia="Times New Roman" w:cs="Times New Roman" w:ascii="Times New Roman" w:hAnsi="Times New Roman"/>
        </w:rPr>
        <w:t>Рекомендуется запрещать загромождение и засорение дворовых территорий металлическим ломом, строительным и бытовым мусором, домашней утварью и другими материалами.</w:t>
      </w:r>
    </w:p>
    <w:p>
      <w:pPr>
        <w:pStyle w:val="Normal"/>
        <w:ind w:firstLine="567"/>
        <w:jc w:val="both"/>
        <w:rPr/>
      </w:pPr>
      <w:r>
        <w:rPr>
          <w:rFonts w:eastAsia="Times New Roman" w:cs="Times New Roman" w:ascii="Times New Roman" w:hAnsi="Times New Roman"/>
        </w:rPr>
        <w:t>Рекомендуется устанавливать указатели на зданиях с обозначением наименования улицы и номерных знаков домов, утвержденного образца, а на угловых домах - названия пересекающихся улиц.</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23" w:name="_Toc424230719"/>
      <w:bookmarkEnd w:id="323"/>
      <w:r>
        <w:rPr>
          <w:rFonts w:eastAsia="Times New Roman" w:cs="Times New Roman"/>
        </w:rPr>
        <w:t>Статья 73. Работы по озеленению территорий и содержанию зеленых насаждений</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Озеленение территории, работы по содержанию и восстановлению парков, скверов, зеленых зон, содержание и охрана лесов рекомендуется осуществлять специализированным организациям по договорам с администрацией ВТРК "Архыз" в пределах средств, предусмотренных в бюджете ВТРК "Архыз" на эти цели.</w:t>
      </w:r>
    </w:p>
    <w:p>
      <w:pPr>
        <w:pStyle w:val="Normal"/>
        <w:ind w:firstLine="567"/>
        <w:jc w:val="both"/>
        <w:rPr/>
      </w:pPr>
      <w:r>
        <w:rPr>
          <w:rFonts w:eastAsia="Times New Roman" w:cs="Times New Roman" w:ascii="Times New Roman" w:hAnsi="Times New Roman"/>
        </w:rPr>
        <w:t>2. Физическим и юридическим лицам, в собственности или в пользовании которых находятся земельные участки, рекомендуется обеспечивать содержание и сохранность зеленых насаждений, находящихся на этих участках, а также на прилегающих территориях.</w:t>
      </w:r>
    </w:p>
    <w:p>
      <w:pPr>
        <w:pStyle w:val="Normal"/>
        <w:ind w:firstLine="567"/>
        <w:jc w:val="both"/>
        <w:rPr/>
      </w:pPr>
      <w:r>
        <w:rPr>
          <w:rFonts w:eastAsia="Times New Roman" w:cs="Times New Roman" w:ascii="Times New Roman" w:hAnsi="Times New Roman"/>
        </w:rPr>
        <w:t>3. Новые посадки деревьев и кустарников на территории улиц, площадей, парков, скверов и кварталов застройки, цветочное оформление скверов и парков, а также капитальный ремонт и реконструкция объектов ландшафтной архитектуры рекомендуется производить только по проектам, согласованным с администрацией ВТРК "Архыз".</w:t>
      </w:r>
    </w:p>
    <w:p>
      <w:pPr>
        <w:pStyle w:val="Normal"/>
        <w:ind w:firstLine="567"/>
        <w:jc w:val="both"/>
        <w:rPr/>
      </w:pPr>
      <w:r>
        <w:rPr>
          <w:rFonts w:eastAsia="Times New Roman" w:cs="Times New Roman" w:ascii="Times New Roman" w:hAnsi="Times New Roman"/>
        </w:rPr>
        <w:t>4. Лицам, указанным в части 2 части 3 данной статьи, рекомендуется:</w:t>
      </w:r>
    </w:p>
    <w:p>
      <w:pPr>
        <w:pStyle w:val="Normal"/>
        <w:ind w:firstLine="567"/>
        <w:jc w:val="both"/>
        <w:rPr/>
      </w:pPr>
      <w:r>
        <w:rPr>
          <w:rFonts w:eastAsia="Times New Roman" w:cs="Times New Roman" w:ascii="Times New Roman" w:hAnsi="Times New Roman"/>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pPr>
        <w:pStyle w:val="Normal"/>
        <w:ind w:firstLine="567"/>
        <w:jc w:val="both"/>
        <w:rPr/>
      </w:pPr>
      <w:r>
        <w:rPr>
          <w:rFonts w:eastAsia="Times New Roman" w:cs="Times New Roman" w:ascii="Times New Roman" w:hAnsi="Times New Roman"/>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pPr>
        <w:pStyle w:val="Normal"/>
        <w:ind w:firstLine="567"/>
        <w:jc w:val="both"/>
        <w:rPr/>
      </w:pPr>
      <w:r>
        <w:rPr>
          <w:rFonts w:eastAsia="Times New Roman" w:cs="Times New Roman" w:ascii="Times New Roman" w:hAnsi="Times New Roman"/>
        </w:rPr>
        <w:t>- доводить до сведения органов местного самоуправления обо всех случаях массового появления вредителей и болезней и принимать меры борьбы с ними, производить замазку ран и дупел на деревьях;</w:t>
      </w:r>
    </w:p>
    <w:p>
      <w:pPr>
        <w:pStyle w:val="Normal"/>
        <w:ind w:firstLine="567"/>
        <w:jc w:val="both"/>
        <w:rPr/>
      </w:pPr>
      <w:r>
        <w:rPr>
          <w:rFonts w:eastAsia="Times New Roman" w:cs="Times New Roman" w:ascii="Times New Roman" w:hAnsi="Times New Roman"/>
        </w:rPr>
        <w:t>- проводить своевременный ремонт ограждений зеленых насаждений.</w:t>
      </w:r>
    </w:p>
    <w:p>
      <w:pPr>
        <w:pStyle w:val="Normal"/>
        <w:ind w:firstLine="567"/>
        <w:jc w:val="both"/>
        <w:rPr/>
      </w:pPr>
      <w:r>
        <w:rPr>
          <w:rFonts w:eastAsia="Times New Roman" w:cs="Times New Roman" w:ascii="Times New Roman" w:hAnsi="Times New Roman"/>
        </w:rPr>
        <w:t>5. На площадях зеленых насаждений рекомендуется установить запрет на следующее:</w:t>
      </w:r>
    </w:p>
    <w:p>
      <w:pPr>
        <w:pStyle w:val="Normal"/>
        <w:ind w:firstLine="567"/>
        <w:jc w:val="both"/>
        <w:rPr/>
      </w:pPr>
      <w:r>
        <w:rPr>
          <w:rFonts w:eastAsia="Times New Roman" w:cs="Times New Roman" w:ascii="Times New Roman" w:hAnsi="Times New Roman"/>
        </w:rPr>
        <w:t>- ходить и лежать в молодых лесных посадках;</w:t>
      </w:r>
    </w:p>
    <w:p>
      <w:pPr>
        <w:pStyle w:val="Normal"/>
        <w:ind w:firstLine="567"/>
        <w:jc w:val="both"/>
        <w:rPr/>
      </w:pPr>
      <w:r>
        <w:rPr>
          <w:rFonts w:eastAsia="Times New Roman" w:cs="Times New Roman" w:ascii="Times New Roman" w:hAnsi="Times New Roman"/>
        </w:rPr>
        <w:t>- ломать деревья, кустарники, сучья и ветви, срывать листья и цветы, сбивать и собирать плоды;</w:t>
      </w:r>
    </w:p>
    <w:p>
      <w:pPr>
        <w:pStyle w:val="Normal"/>
        <w:ind w:firstLine="567"/>
        <w:jc w:val="both"/>
        <w:rPr/>
      </w:pPr>
      <w:r>
        <w:rPr>
          <w:rFonts w:eastAsia="Times New Roman" w:cs="Times New Roman" w:ascii="Times New Roman" w:hAnsi="Times New Roman"/>
        </w:rPr>
        <w:t>- разводить костры;</w:t>
      </w:r>
    </w:p>
    <w:p>
      <w:pPr>
        <w:pStyle w:val="Normal"/>
        <w:ind w:firstLine="567"/>
        <w:jc w:val="both"/>
        <w:rPr/>
      </w:pPr>
      <w:r>
        <w:rPr>
          <w:rFonts w:eastAsia="Times New Roman" w:cs="Times New Roman" w:ascii="Times New Roman" w:hAnsi="Times New Roman"/>
        </w:rPr>
        <w:t>- засорять газоны, цветники, дорожки и водоемы;</w:t>
      </w:r>
    </w:p>
    <w:p>
      <w:pPr>
        <w:pStyle w:val="Normal"/>
        <w:ind w:firstLine="567"/>
        <w:jc w:val="both"/>
        <w:rPr/>
      </w:pPr>
      <w:r>
        <w:rPr>
          <w:rFonts w:eastAsia="Times New Roman" w:cs="Times New Roman" w:ascii="Times New Roman" w:hAnsi="Times New Roman"/>
        </w:rPr>
        <w:t>- портить скульптуры, скамейки, ограды;</w:t>
      </w:r>
    </w:p>
    <w:p>
      <w:pPr>
        <w:pStyle w:val="Normal"/>
        <w:ind w:firstLine="567"/>
        <w:jc w:val="both"/>
        <w:rPr/>
      </w:pPr>
      <w:r>
        <w:rPr>
          <w:rFonts w:eastAsia="Times New Roman" w:cs="Times New Roman" w:ascii="Times New Roman" w:hAnsi="Times New Roman"/>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pPr>
        <w:pStyle w:val="Normal"/>
        <w:ind w:firstLine="567"/>
        <w:jc w:val="both"/>
        <w:rPr/>
      </w:pPr>
      <w:r>
        <w:rPr>
          <w:rFonts w:eastAsia="Times New Roman" w:cs="Times New Roman" w:ascii="Times New Roman" w:hAnsi="Times New Roman"/>
        </w:rPr>
        <w:t>- ездить на мотоциклах, тракторах и автомашинах;</w:t>
      </w:r>
    </w:p>
    <w:p>
      <w:pPr>
        <w:pStyle w:val="Normal"/>
        <w:ind w:firstLine="567"/>
        <w:jc w:val="both"/>
        <w:rPr/>
      </w:pPr>
      <w:r>
        <w:rPr>
          <w:rFonts w:eastAsia="Times New Roman" w:cs="Times New Roman" w:ascii="Times New Roman" w:hAnsi="Times New Roman"/>
        </w:rPr>
        <w:t>- мыть автотранспортные средства, стирать белье, а также купать животных в водоемах, расположенных на территории зеленых насаждений;</w:t>
      </w:r>
    </w:p>
    <w:p>
      <w:pPr>
        <w:pStyle w:val="Normal"/>
        <w:ind w:firstLine="567"/>
        <w:jc w:val="both"/>
        <w:rPr/>
      </w:pPr>
      <w:r>
        <w:rPr>
          <w:rFonts w:eastAsia="Times New Roman" w:cs="Times New Roman" w:ascii="Times New Roman" w:hAnsi="Times New Roman"/>
        </w:rPr>
        <w:t>- парковать автотранспортные средства на газонах;</w:t>
      </w:r>
    </w:p>
    <w:p>
      <w:pPr>
        <w:pStyle w:val="Normal"/>
        <w:ind w:firstLine="567"/>
        <w:jc w:val="both"/>
        <w:rPr/>
      </w:pPr>
      <w:r>
        <w:rPr>
          <w:rFonts w:eastAsia="Times New Roman" w:cs="Times New Roman" w:ascii="Times New Roman" w:hAnsi="Times New Roman"/>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pPr>
        <w:pStyle w:val="Normal"/>
        <w:ind w:firstLine="567"/>
        <w:jc w:val="both"/>
        <w:rPr/>
      </w:pPr>
      <w:r>
        <w:rPr>
          <w:rFonts w:eastAsia="Times New Roman" w:cs="Times New Roman" w:ascii="Times New Roman" w:hAnsi="Times New Roman"/>
        </w:rPr>
        <w:t>- производить строительные и ремонтные работы без ограждений насаждений щитами, гарантирующими защиту их от повреждений;</w:t>
      </w:r>
    </w:p>
    <w:p>
      <w:pPr>
        <w:pStyle w:val="Normal"/>
        <w:ind w:firstLine="567"/>
        <w:jc w:val="both"/>
        <w:rPr/>
      </w:pPr>
      <w:r>
        <w:rPr>
          <w:rFonts w:eastAsia="Times New Roman" w:cs="Times New Roman" w:ascii="Times New Roman" w:hAnsi="Times New Roman"/>
        </w:rPr>
        <w:t>- обнажать корни деревьев на расстоянии ближе 1,5 м от ствола и засыпать шейки деревьев землей или строительным мусором;</w:t>
      </w:r>
    </w:p>
    <w:p>
      <w:pPr>
        <w:pStyle w:val="Normal"/>
        <w:ind w:firstLine="567"/>
        <w:jc w:val="both"/>
        <w:rPr/>
      </w:pPr>
      <w:r>
        <w:rPr>
          <w:rFonts w:eastAsia="Times New Roman" w:cs="Times New Roman" w:ascii="Times New Roman" w:hAnsi="Times New Roman"/>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pPr>
        <w:pStyle w:val="Normal"/>
        <w:ind w:firstLine="567"/>
        <w:jc w:val="both"/>
        <w:rPr/>
      </w:pPr>
      <w:r>
        <w:rPr>
          <w:rFonts w:eastAsia="Times New Roman" w:cs="Times New Roman" w:ascii="Times New Roman" w:hAnsi="Times New Roman"/>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pPr>
        <w:pStyle w:val="Normal"/>
        <w:ind w:firstLine="567"/>
        <w:jc w:val="both"/>
        <w:rPr/>
      </w:pPr>
      <w:r>
        <w:rPr>
          <w:rFonts w:eastAsia="Times New Roman" w:cs="Times New Roman" w:ascii="Times New Roman" w:hAnsi="Times New Roman"/>
        </w:rPr>
        <w:t>- добывать растительную землю, песок и производить другие раскопки;</w:t>
      </w:r>
    </w:p>
    <w:p>
      <w:pPr>
        <w:pStyle w:val="Normal"/>
        <w:ind w:firstLine="567"/>
        <w:jc w:val="both"/>
        <w:rPr/>
      </w:pPr>
      <w:r>
        <w:rPr>
          <w:rFonts w:eastAsia="Times New Roman" w:cs="Times New Roman" w:ascii="Times New Roman" w:hAnsi="Times New Roman"/>
        </w:rPr>
        <w:t>- выгуливать и отпускать с поводка собак в парках, лесопарках, скверах и иных территориях зеленых насаждений;</w:t>
      </w:r>
    </w:p>
    <w:p>
      <w:pPr>
        <w:pStyle w:val="Normal"/>
        <w:ind w:firstLine="567"/>
        <w:jc w:val="both"/>
        <w:rPr/>
      </w:pPr>
      <w:r>
        <w:rPr>
          <w:rFonts w:eastAsia="Times New Roman" w:cs="Times New Roman" w:ascii="Times New Roman" w:hAnsi="Times New Roman"/>
        </w:rPr>
        <w:t>- сжигать листву и мусор на территории общего пользования ВТРК "Архыз".</w:t>
      </w:r>
    </w:p>
    <w:p>
      <w:pPr>
        <w:pStyle w:val="Normal"/>
        <w:ind w:firstLine="567"/>
        <w:jc w:val="both"/>
        <w:rPr/>
      </w:pPr>
      <w:r>
        <w:rPr>
          <w:rFonts w:eastAsia="Times New Roman" w:cs="Times New Roman" w:ascii="Times New Roman" w:hAnsi="Times New Roman"/>
        </w:rPr>
        <w:t>6. Рекомендуется установить запрет на самовольную вырубку деревьев и кустарников.</w:t>
      </w:r>
    </w:p>
    <w:p>
      <w:pPr>
        <w:pStyle w:val="Normal"/>
        <w:ind w:firstLine="567"/>
        <w:jc w:val="both"/>
        <w:rPr/>
      </w:pPr>
      <w:r>
        <w:rPr>
          <w:rFonts w:eastAsia="Times New Roman" w:cs="Times New Roman" w:ascii="Times New Roman" w:hAnsi="Times New Roman"/>
        </w:rPr>
        <w:t>7. 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ВТРК "Архыз", рекомендуется производить только по письменному разрешению администрации ВТРК "Архыз".</w:t>
      </w:r>
    </w:p>
    <w:p>
      <w:pPr>
        <w:pStyle w:val="Normal"/>
        <w:ind w:firstLine="567"/>
        <w:jc w:val="both"/>
        <w:rPr/>
      </w:pPr>
      <w:r>
        <w:rPr>
          <w:rFonts w:eastAsia="Times New Roman" w:cs="Times New Roman" w:ascii="Times New Roman" w:hAnsi="Times New Roman"/>
        </w:rPr>
        <w:t>8. За вынужденный снос крупномерных деревьев и кустарников, связанных с застройкой или прокладкой подземных коммуникаций, рекомендуется брать восстановительную стоимость.</w:t>
      </w:r>
    </w:p>
    <w:p>
      <w:pPr>
        <w:pStyle w:val="Normal"/>
        <w:ind w:firstLine="567"/>
        <w:jc w:val="both"/>
        <w:rPr/>
      </w:pPr>
      <w:r>
        <w:rPr>
          <w:rFonts w:eastAsia="Times New Roman" w:cs="Times New Roman" w:ascii="Times New Roman" w:hAnsi="Times New Roman"/>
        </w:rPr>
        <w:t>9. Выдачу разрешения на снос деревьев и кустарников следует производить после оплаты восстановительной стоимости.</w:t>
      </w:r>
    </w:p>
    <w:p>
      <w:pPr>
        <w:pStyle w:val="Normal"/>
        <w:ind w:firstLine="567"/>
        <w:jc w:val="both"/>
        <w:rPr/>
      </w:pPr>
      <w:r>
        <w:rPr>
          <w:rFonts w:eastAsia="Times New Roman" w:cs="Times New Roman" w:ascii="Times New Roman" w:hAnsi="Times New Roman"/>
        </w:rPr>
        <w:t>Если указанные насаждения подлежат пересадке, выдачу разрешения следует производить без уплаты восстановительной стоимости.</w:t>
      </w:r>
    </w:p>
    <w:p>
      <w:pPr>
        <w:pStyle w:val="Normal"/>
        <w:ind w:firstLine="567"/>
        <w:jc w:val="both"/>
        <w:rPr/>
      </w:pPr>
      <w:r>
        <w:rPr>
          <w:rFonts w:eastAsia="Times New Roman" w:cs="Times New Roman" w:ascii="Times New Roman" w:hAnsi="Times New Roman"/>
        </w:rPr>
        <w:t>Размер восстановительной стоимости зеленых насаждений и место посадок определяются администрацией ВТРК "Архыз".</w:t>
      </w:r>
    </w:p>
    <w:p>
      <w:pPr>
        <w:pStyle w:val="Normal"/>
        <w:ind w:firstLine="567"/>
        <w:jc w:val="both"/>
        <w:rPr/>
      </w:pPr>
      <w:r>
        <w:rPr>
          <w:rFonts w:eastAsia="Times New Roman" w:cs="Times New Roman" w:ascii="Times New Roman" w:hAnsi="Times New Roman"/>
        </w:rPr>
        <w:t>Восстановительную стоимость зеленых насаждений следует зачислять в бюджет ВТРК "Архыз".</w:t>
      </w:r>
    </w:p>
    <w:p>
      <w:pPr>
        <w:pStyle w:val="Normal"/>
        <w:ind w:firstLine="567"/>
        <w:jc w:val="both"/>
        <w:rPr/>
      </w:pPr>
      <w:r>
        <w:rPr>
          <w:rFonts w:eastAsia="Times New Roman" w:cs="Times New Roman" w:ascii="Times New Roman" w:hAnsi="Times New Roman"/>
        </w:rPr>
        <w:t>10. За всякое повреждение или самовольную вырубку зеленых насаждений, а также за непринятие мер охраны и халатное отношение к зеленым насаждениям с виновных рекомендуется взимать восстановительную стоимость поврежденных или уничтоженных насаждений.</w:t>
      </w:r>
    </w:p>
    <w:p>
      <w:pPr>
        <w:pStyle w:val="Normal"/>
        <w:ind w:firstLine="567"/>
        <w:jc w:val="both"/>
        <w:rPr/>
      </w:pPr>
      <w:r>
        <w:rPr>
          <w:rFonts w:eastAsia="Times New Roman" w:cs="Times New Roman" w:ascii="Times New Roman" w:hAnsi="Times New Roman"/>
        </w:rPr>
        <w:t>11. Оценку стоимости плодово-ягодных насаждений и садов, принадлежащих гражданам и попадающих в зону строительства жилых и промышленных зданий, рекомендуется производить администрацией ВТРК "Архыз".</w:t>
      </w:r>
    </w:p>
    <w:p>
      <w:pPr>
        <w:pStyle w:val="Normal"/>
        <w:ind w:firstLine="567"/>
        <w:jc w:val="both"/>
        <w:rPr/>
      </w:pPr>
      <w:r>
        <w:rPr>
          <w:rFonts w:eastAsia="Times New Roman" w:cs="Times New Roman" w:ascii="Times New Roman" w:hAnsi="Times New Roman"/>
        </w:rPr>
        <w:t>12. За незаконную вырубку или повреждение деревьев на территории лесов виновным лицам следует возмещать убытки.</w:t>
      </w:r>
    </w:p>
    <w:p>
      <w:pPr>
        <w:pStyle w:val="Normal"/>
        <w:ind w:firstLine="567"/>
        <w:jc w:val="both"/>
        <w:rPr/>
      </w:pPr>
      <w:r>
        <w:rPr>
          <w:rFonts w:eastAsia="Times New Roman" w:cs="Times New Roman" w:ascii="Times New Roman" w:hAnsi="Times New Roman"/>
        </w:rPr>
        <w:t>13. Учет, содержание, клеймение, снос, обрезку, пересадку деревьев и кустарников рекомендуется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внутридворовых территориях застройки; лесхоза или иной специализированной организации - в лесах ВТРК "Архыз".</w:t>
      </w:r>
    </w:p>
    <w:p>
      <w:pPr>
        <w:pStyle w:val="Normal"/>
        <w:ind w:firstLine="567"/>
        <w:jc w:val="both"/>
        <w:rPr/>
      </w:pPr>
      <w:r>
        <w:rPr>
          <w:rFonts w:eastAsia="Times New Roman" w:cs="Times New Roman" w:ascii="Times New Roman" w:hAnsi="Times New Roman"/>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рекомендуется определять по ценам на здоровые деревья.</w:t>
      </w:r>
    </w:p>
    <w:p>
      <w:pPr>
        <w:pStyle w:val="Normal"/>
        <w:ind w:firstLine="567"/>
        <w:jc w:val="both"/>
        <w:rPr/>
      </w:pPr>
      <w:r>
        <w:rPr>
          <w:rFonts w:eastAsia="Times New Roman" w:cs="Times New Roman" w:ascii="Times New Roman" w:hAnsi="Times New Roman"/>
        </w:rPr>
        <w:t>14. 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ВТРК "Архыз" для принятия необходимых мер.</w:t>
      </w:r>
    </w:p>
    <w:p>
      <w:pPr>
        <w:pStyle w:val="Normal"/>
        <w:ind w:firstLine="567"/>
        <w:jc w:val="both"/>
        <w:rPr/>
      </w:pPr>
      <w:r>
        <w:rPr>
          <w:rFonts w:eastAsia="Times New Roman" w:cs="Times New Roman" w:ascii="Times New Roman" w:hAnsi="Times New Roman"/>
        </w:rPr>
        <w:t>15. Разрешение на вырубку сухостоя рекомендуется выдавать администрацией ВТРК "Архыз".</w:t>
      </w:r>
    </w:p>
    <w:p>
      <w:pPr>
        <w:pStyle w:val="Normal"/>
        <w:ind w:firstLine="567"/>
        <w:jc w:val="both"/>
        <w:rPr/>
      </w:pPr>
      <w:r>
        <w:rPr>
          <w:rFonts w:eastAsia="Times New Roman" w:cs="Times New Roman" w:ascii="Times New Roman" w:hAnsi="Times New Roman"/>
        </w:rPr>
        <w:t>16. Снос деревьев, кроме ценных пород деревьев, и кустарников в зоне индивидуальной застройки следует осуществлять собственниками земельных участков самостоятельно за счет собственных средств.</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24" w:name="_Toc424230720"/>
      <w:bookmarkEnd w:id="324"/>
      <w:r>
        <w:rPr>
          <w:rFonts w:eastAsia="Times New Roman" w:cs="Times New Roman"/>
        </w:rPr>
        <w:t>Статья 74. Содержание и эксплуатация дорог</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С целью сохранения дорожных покрытий на территории ВТРК "Архыз" следует запрещать:</w:t>
      </w:r>
    </w:p>
    <w:p>
      <w:pPr>
        <w:pStyle w:val="Normal"/>
        <w:ind w:firstLine="567"/>
        <w:jc w:val="both"/>
        <w:rPr/>
      </w:pPr>
      <w:r>
        <w:rPr>
          <w:rFonts w:eastAsia="Times New Roman" w:cs="Times New Roman" w:ascii="Times New Roman" w:hAnsi="Times New Roman"/>
        </w:rPr>
        <w:t>- подвоз груза волоком;</w:t>
      </w:r>
    </w:p>
    <w:p>
      <w:pPr>
        <w:pStyle w:val="Normal"/>
        <w:ind w:firstLine="567"/>
        <w:jc w:val="both"/>
        <w:rPr/>
      </w:pPr>
      <w:r>
        <w:rPr>
          <w:rFonts w:eastAsia="Times New Roman" w:cs="Times New Roman" w:ascii="Times New Roman" w:hAnsi="Times New Roman"/>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pPr>
        <w:pStyle w:val="Normal"/>
        <w:ind w:firstLine="567"/>
        <w:jc w:val="both"/>
        <w:rPr/>
      </w:pPr>
      <w:r>
        <w:rPr>
          <w:rFonts w:eastAsia="Times New Roman" w:cs="Times New Roman" w:ascii="Times New Roman" w:hAnsi="Times New Roman"/>
        </w:rPr>
        <w:t>- перегон по улицам населенных пунктов, имеющим твердое покрытие, машин на гусеничном ходу;</w:t>
      </w:r>
    </w:p>
    <w:p>
      <w:pPr>
        <w:pStyle w:val="Normal"/>
        <w:ind w:firstLine="567"/>
        <w:jc w:val="both"/>
        <w:rPr/>
      </w:pPr>
      <w:r>
        <w:rPr>
          <w:rFonts w:eastAsia="Times New Roman" w:cs="Times New Roman" w:ascii="Times New Roman" w:hAnsi="Times New Roman"/>
        </w:rPr>
        <w:t>- движение и стоянка большегрузного транспорта на внутри квартальных пешеходных дорожках, тротуарах.</w:t>
      </w:r>
    </w:p>
    <w:p>
      <w:pPr>
        <w:pStyle w:val="Normal"/>
        <w:ind w:firstLine="567"/>
        <w:jc w:val="both"/>
        <w:rPr/>
      </w:pPr>
      <w:r>
        <w:rPr>
          <w:rFonts w:eastAsia="Times New Roman" w:cs="Times New Roman" w:ascii="Times New Roman" w:hAnsi="Times New Roman"/>
        </w:rPr>
        <w:t>2. Специализированным организациям рекомендуется производить уборку территорий ВТРК "Архыз" на основании соглашений с лицами, указанными в части 1 статьи 68 настоящих Правил.</w:t>
      </w:r>
    </w:p>
    <w:p>
      <w:pPr>
        <w:pStyle w:val="Normal"/>
        <w:ind w:firstLine="567"/>
        <w:jc w:val="both"/>
        <w:rPr/>
      </w:pPr>
      <w:r>
        <w:rPr>
          <w:rFonts w:eastAsia="Times New Roman" w:cs="Times New Roman" w:ascii="Times New Roman" w:hAnsi="Times New Roman"/>
        </w:rPr>
        <w:t>3. 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ВТРК "Архыз" (за исключением автомобильных дорог общего пользования, мостов и иных транспортных инженерных сооружений федерального и регионального значения) рекомендуется осуществлять специализированными организациями по договорам с администрацией ВТРК "Архыз" в соответствии с планом капитальных вложений.</w:t>
      </w:r>
    </w:p>
    <w:p>
      <w:pPr>
        <w:pStyle w:val="Normal"/>
        <w:ind w:firstLine="567"/>
        <w:jc w:val="both"/>
        <w:rPr/>
      </w:pPr>
      <w:r>
        <w:rPr>
          <w:rFonts w:eastAsia="Times New Roman" w:cs="Times New Roman" w:ascii="Times New Roman" w:hAnsi="Times New Roman"/>
        </w:rPr>
        <w:t>4. Эксплуатацию, текущий и капитальный ремонт светофоров, дорожных знаков, разметки и иных объектов обеспечения безопасности уличного движения рекомендуется осуществлять специализированными организациями по договорам с администрацией ВТРК "Архыз".</w:t>
      </w:r>
    </w:p>
    <w:p>
      <w:pPr>
        <w:pStyle w:val="Normal"/>
        <w:ind w:firstLine="567"/>
        <w:jc w:val="both"/>
        <w:rPr/>
      </w:pPr>
      <w:r>
        <w:rPr>
          <w:rFonts w:eastAsia="Times New Roman" w:cs="Times New Roman" w:ascii="Times New Roman" w:hAnsi="Times New Roman"/>
        </w:rPr>
        <w:t>5. 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pPr>
        <w:pStyle w:val="Normal"/>
        <w:ind w:firstLine="567"/>
        <w:jc w:val="both"/>
        <w:rPr/>
      </w:pPr>
      <w:r>
        <w:rPr>
          <w:rFonts w:eastAsia="Times New Roman" w:cs="Times New Roman" w:ascii="Times New Roman" w:hAnsi="Times New Roman"/>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организациями, в ведении которых находятся коммуникации.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25" w:name="_Toc424230721"/>
      <w:bookmarkEnd w:id="325"/>
      <w:r>
        <w:rPr>
          <w:rFonts w:eastAsia="Times New Roman" w:cs="Times New Roman"/>
        </w:rPr>
        <w:t>Статья 75. Освещение территории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Улицы, дороги, площади, набережные, мосты, бульвары и пешеходные аллеи, общественные и рекреационные территории, территории кварталов, гостиниц, территории промышленных и коммунальных организаций, а также арки входов, дорожные знаки и указатели, элементы информации рекомендуется освещать в темное время суток по расписанию, утвержденному администрацией ВТРК "Архыз".</w:t>
      </w:r>
    </w:p>
    <w:p>
      <w:pPr>
        <w:pStyle w:val="Normal"/>
        <w:ind w:firstLine="567"/>
        <w:jc w:val="both"/>
        <w:rPr/>
      </w:pPr>
      <w:r>
        <w:rPr>
          <w:rFonts w:eastAsia="Times New Roman" w:cs="Times New Roman" w:ascii="Times New Roman" w:hAnsi="Times New Roman"/>
        </w:rPr>
        <w:t>Обязанность по освещению данных объектов следует возлагать на их собственников или уполномоченных собственником лиц.</w:t>
      </w:r>
    </w:p>
    <w:p>
      <w:pPr>
        <w:pStyle w:val="Normal"/>
        <w:ind w:firstLine="567"/>
        <w:jc w:val="both"/>
        <w:rPr/>
      </w:pPr>
      <w:r>
        <w:rPr>
          <w:rFonts w:eastAsia="Times New Roman" w:cs="Times New Roman" w:ascii="Times New Roman" w:hAnsi="Times New Roman"/>
        </w:rPr>
        <w:t>2. Освещение территории ВТРК "Архыз" рекомендуется осуществлять энергоснабжающими организациями по договорам с физическими и юридическими лицами, независимо от их организационно-правовых форм, являющимися собственниками отведенных им в установленном порядке земельных участков.</w:t>
      </w:r>
    </w:p>
    <w:p>
      <w:pPr>
        <w:pStyle w:val="Normal"/>
        <w:ind w:firstLine="567"/>
        <w:jc w:val="both"/>
        <w:rPr/>
      </w:pPr>
      <w:r>
        <w:rPr>
          <w:rFonts w:eastAsia="Times New Roman" w:cs="Times New Roman" w:ascii="Times New Roman" w:hAnsi="Times New Roman"/>
        </w:rPr>
        <w:t>3. Строительство, эксплуатацию, текущий и капитальный ремонт сетей наружного освещения улиц следует осуществлять специализированными организациями по договорам с администрацией ВТРК "Архыз".</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26" w:name="_Toc424230722"/>
      <w:bookmarkEnd w:id="326"/>
      <w:r>
        <w:rPr>
          <w:rFonts w:eastAsia="Times New Roman" w:cs="Times New Roman"/>
        </w:rPr>
        <w:t>Статья 76. Проведение работ при строительстве, ремонте, реконструкции коммуникаций</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 ВТРК "Архыз".</w:t>
      </w:r>
    </w:p>
    <w:p>
      <w:pPr>
        <w:pStyle w:val="Normal"/>
        <w:ind w:firstLine="567"/>
        <w:jc w:val="both"/>
        <w:rPr/>
      </w:pPr>
      <w:r>
        <w:rPr>
          <w:rFonts w:eastAsia="Times New Roman" w:cs="Times New Roman" w:ascii="Times New Roman" w:hAnsi="Times New Roman"/>
        </w:rPr>
        <w:t>Аварийные работы рекомендуется начинать владельцам сетей по телефонограмме или по уведомлению администрации ВТРК "Архыз" с последующим оформлением разрешения в 3-дневный срок.</w:t>
      </w:r>
    </w:p>
    <w:p>
      <w:pPr>
        <w:pStyle w:val="Normal"/>
        <w:ind w:firstLine="567"/>
        <w:jc w:val="both"/>
        <w:rPr/>
      </w:pPr>
      <w:r>
        <w:rPr>
          <w:rFonts w:eastAsia="Times New Roman" w:cs="Times New Roman" w:ascii="Times New Roman" w:hAnsi="Times New Roman"/>
        </w:rPr>
        <w:t>2. Разрешение на производство работ по строительству, реконструкции, ремонту коммуникаций рекомендуется выдавать администрацией ВТРК "Архыз" при предъявлении:</w:t>
      </w:r>
    </w:p>
    <w:p>
      <w:pPr>
        <w:pStyle w:val="Normal"/>
        <w:ind w:firstLine="567"/>
        <w:jc w:val="both"/>
        <w:rPr/>
      </w:pPr>
      <w:r>
        <w:rPr>
          <w:rFonts w:eastAsia="Times New Roman" w:cs="Times New Roman" w:ascii="Times New Roman" w:hAnsi="Times New Roman"/>
        </w:rPr>
        <w:t>- проекта проведения работ, согласованного с заинтересованными службами, отвечающими за сохранность инженерных коммуникаций;</w:t>
      </w:r>
    </w:p>
    <w:p>
      <w:pPr>
        <w:pStyle w:val="Normal"/>
        <w:ind w:firstLine="567"/>
        <w:jc w:val="both"/>
        <w:rPr/>
      </w:pPr>
      <w:r>
        <w:rPr>
          <w:rFonts w:eastAsia="Times New Roman" w:cs="Times New Roman" w:ascii="Times New Roman" w:hAnsi="Times New Roman"/>
        </w:rPr>
        <w:t>- схемы движения транспорта и пешеходов, согласованной с государственной инспекцией по безопасности дорожного движения;</w:t>
      </w:r>
    </w:p>
    <w:p>
      <w:pPr>
        <w:pStyle w:val="Normal"/>
        <w:ind w:firstLine="567"/>
        <w:jc w:val="both"/>
        <w:rPr/>
      </w:pPr>
      <w:r>
        <w:rPr>
          <w:rFonts w:eastAsia="Times New Roman" w:cs="Times New Roman" w:ascii="Times New Roman" w:hAnsi="Times New Roman"/>
        </w:rPr>
        <w:t>- условий производства работ, согласованных с местной администрацией ВТРК "Архыз";</w:t>
      </w:r>
    </w:p>
    <w:p>
      <w:pPr>
        <w:pStyle w:val="Normal"/>
        <w:ind w:firstLine="567"/>
        <w:jc w:val="both"/>
        <w:rPr/>
      </w:pPr>
      <w:r>
        <w:rPr>
          <w:rFonts w:eastAsia="Times New Roman" w:cs="Times New Roman" w:ascii="Times New Roman" w:hAnsi="Times New Roman"/>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pPr>
        <w:pStyle w:val="Normal"/>
        <w:ind w:firstLine="567"/>
        <w:jc w:val="both"/>
        <w:rPr/>
      </w:pPr>
      <w:r>
        <w:rPr>
          <w:rFonts w:eastAsia="Times New Roman" w:cs="Times New Roman" w:ascii="Times New Roman" w:hAnsi="Times New Roman"/>
        </w:rPr>
        <w:t>При производстве работ, связанных с необходимостью восстановления покрытия дорог, тротуаров или газонов, разрешение на производство земляных работ рекомендуется выдавать только по согласованию со специализированной организацией, обслуживающей дорожное покрытие, тротуары, газоны.</w:t>
      </w:r>
    </w:p>
    <w:p>
      <w:pPr>
        <w:pStyle w:val="Normal"/>
        <w:ind w:firstLine="567"/>
        <w:jc w:val="both"/>
        <w:rPr/>
      </w:pPr>
      <w:r>
        <w:rPr>
          <w:rFonts w:eastAsia="Times New Roman" w:cs="Times New Roman" w:ascii="Times New Roman" w:hAnsi="Times New Roman"/>
        </w:rPr>
        <w:t>3. Прокладку напорных коммуникации под проезжей частью магистральных улиц рекомендуется не допускать.</w:t>
      </w:r>
    </w:p>
    <w:p>
      <w:pPr>
        <w:pStyle w:val="Normal"/>
        <w:ind w:firstLine="567"/>
        <w:jc w:val="both"/>
        <w:rPr/>
      </w:pPr>
      <w:r>
        <w:rPr>
          <w:rFonts w:eastAsia="Times New Roman" w:cs="Times New Roman" w:ascii="Times New Roman" w:hAnsi="Times New Roman"/>
        </w:rPr>
        <w:t>4. При реконструкции действующих подземных коммуникаций следует предусматривать их вынос из-под проезжей части магистральных улиц.</w:t>
      </w:r>
    </w:p>
    <w:p>
      <w:pPr>
        <w:pStyle w:val="Normal"/>
        <w:ind w:firstLine="567"/>
        <w:jc w:val="both"/>
        <w:rPr/>
      </w:pPr>
      <w:r>
        <w:rPr>
          <w:rFonts w:eastAsia="Times New Roman" w:cs="Times New Roman" w:ascii="Times New Roman" w:hAnsi="Times New Roman"/>
        </w:rPr>
        <w:t>5. 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pPr>
        <w:pStyle w:val="Normal"/>
        <w:ind w:firstLine="567"/>
        <w:jc w:val="both"/>
        <w:rPr/>
      </w:pPr>
      <w:r>
        <w:rPr>
          <w:rFonts w:eastAsia="Times New Roman" w:cs="Times New Roman" w:ascii="Times New Roman" w:hAnsi="Times New Roman"/>
        </w:rPr>
        <w:t>6. Прокладку подземных коммуникаций под проезжей частью улиц, проездами, а также под тротуарами рекомендуется допускать соответствующими организациями при условии восстановления проезжей части автодороги (тротуара) на полную ширину, независимо от ширины траншеи.</w:t>
      </w:r>
    </w:p>
    <w:p>
      <w:pPr>
        <w:pStyle w:val="Normal"/>
        <w:ind w:firstLine="567"/>
        <w:jc w:val="both"/>
        <w:rPr/>
      </w:pPr>
      <w:r>
        <w:rPr>
          <w:rFonts w:eastAsia="Times New Roman" w:cs="Times New Roman" w:ascii="Times New Roman" w:hAnsi="Times New Roman"/>
        </w:rPr>
        <w:t>Рекомендуется не допускать применение кирпича в конструкциях, подземных коммуникациях, расположенных под проезжей частью.</w:t>
      </w:r>
    </w:p>
    <w:p>
      <w:pPr>
        <w:pStyle w:val="Normal"/>
        <w:ind w:firstLine="567"/>
        <w:jc w:val="both"/>
        <w:rPr/>
      </w:pPr>
      <w:r>
        <w:rPr>
          <w:rFonts w:eastAsia="Times New Roman" w:cs="Times New Roman" w:ascii="Times New Roman" w:hAnsi="Times New Roman"/>
        </w:rPr>
        <w:t>7. В целях исключения возможного разрытия вновь построенных (реконструированных) улиц, скверов рекомендовать организациям,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сообщить в администрацию ВТРК "Архыз" о намеченных работах по прокладке коммуникаций с указанием предполагаемых сроков производства работ.</w:t>
      </w:r>
    </w:p>
    <w:p>
      <w:pPr>
        <w:pStyle w:val="Normal"/>
        <w:ind w:firstLine="567"/>
        <w:jc w:val="both"/>
        <w:rPr/>
      </w:pPr>
      <w:r>
        <w:rPr>
          <w:rFonts w:eastAsia="Times New Roman" w:cs="Times New Roman" w:ascii="Times New Roman" w:hAnsi="Times New Roman"/>
        </w:rPr>
        <w:t>8. 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ВТРК "Архыз".</w:t>
      </w:r>
    </w:p>
    <w:p>
      <w:pPr>
        <w:pStyle w:val="Normal"/>
        <w:ind w:firstLine="567"/>
        <w:jc w:val="both"/>
        <w:rPr/>
      </w:pPr>
      <w:r>
        <w:rPr>
          <w:rFonts w:eastAsia="Times New Roman" w:cs="Times New Roman" w:ascii="Times New Roman" w:hAnsi="Times New Roman"/>
        </w:rPr>
        <w:t>9. До начала производства работ по разрытию рекомендуется:</w:t>
      </w:r>
    </w:p>
    <w:p>
      <w:pPr>
        <w:pStyle w:val="Normal"/>
        <w:ind w:firstLine="567"/>
        <w:jc w:val="both"/>
        <w:rPr/>
      </w:pPr>
      <w:r>
        <w:rPr>
          <w:rFonts w:eastAsia="Times New Roman" w:cs="Times New Roman" w:ascii="Times New Roman" w:hAnsi="Times New Roman"/>
        </w:rPr>
        <w:t>- установить дорожные знаки в соответствии с согласованной схемой;</w:t>
      </w:r>
    </w:p>
    <w:p>
      <w:pPr>
        <w:pStyle w:val="Normal"/>
        <w:ind w:firstLine="567"/>
        <w:jc w:val="both"/>
        <w:rPr/>
      </w:pPr>
      <w:r>
        <w:rPr>
          <w:rFonts w:eastAsia="Times New Roman" w:cs="Times New Roman" w:ascii="Times New Roman" w:hAnsi="Times New Roman"/>
        </w:rPr>
        <w:t>- 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pPr>
        <w:pStyle w:val="Normal"/>
        <w:ind w:firstLine="567"/>
        <w:jc w:val="both"/>
        <w:rPr/>
      </w:pPr>
      <w:r>
        <w:rPr>
          <w:rFonts w:eastAsia="Times New Roman" w:cs="Times New Roman" w:ascii="Times New Roman" w:hAnsi="Times New Roman"/>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pPr>
        <w:pStyle w:val="Normal"/>
        <w:ind w:firstLine="567"/>
        <w:jc w:val="both"/>
        <w:rPr/>
      </w:pPr>
      <w:r>
        <w:rPr>
          <w:rFonts w:eastAsia="Times New Roman" w:cs="Times New Roman" w:ascii="Times New Roman" w:hAnsi="Times New Roman"/>
        </w:rPr>
        <w:t>Ограждение рекомендуется выполнять сплошным и надежным, предотвращающим попадание посторонних на стройплощадку.</w:t>
      </w:r>
    </w:p>
    <w:p>
      <w:pPr>
        <w:pStyle w:val="Normal"/>
        <w:ind w:firstLine="567"/>
        <w:jc w:val="both"/>
        <w:rPr/>
      </w:pPr>
      <w:r>
        <w:rPr>
          <w:rFonts w:eastAsia="Times New Roman" w:cs="Times New Roman" w:ascii="Times New Roman" w:hAnsi="Times New Roman"/>
        </w:rPr>
        <w:t>На направлениях массовых пешеходных потоков через траншеи следует устраивать мостки на расстоянии не менее чем 200 метров друг от друга.</w:t>
      </w:r>
    </w:p>
    <w:p>
      <w:pPr>
        <w:pStyle w:val="Normal"/>
        <w:ind w:firstLine="567"/>
        <w:jc w:val="both"/>
        <w:rPr/>
      </w:pPr>
      <w:r>
        <w:rPr>
          <w:rFonts w:eastAsia="Times New Roman" w:cs="Times New Roman" w:ascii="Times New Roman" w:hAnsi="Times New Roman"/>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pPr>
        <w:pStyle w:val="Normal"/>
        <w:ind w:firstLine="567"/>
        <w:jc w:val="both"/>
        <w:rPr/>
      </w:pPr>
      <w:r>
        <w:rPr>
          <w:rFonts w:eastAsia="Times New Roman" w:cs="Times New Roman" w:ascii="Times New Roman" w:hAnsi="Times New Roman"/>
        </w:rPr>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pPr>
        <w:pStyle w:val="Normal"/>
        <w:ind w:firstLine="567"/>
        <w:jc w:val="both"/>
        <w:rPr/>
      </w:pPr>
      <w:r>
        <w:rPr>
          <w:rFonts w:eastAsia="Times New Roman" w:cs="Times New Roman" w:ascii="Times New Roman" w:hAnsi="Times New Roman"/>
        </w:rPr>
        <w:t>10. 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pPr>
        <w:pStyle w:val="Normal"/>
        <w:ind w:firstLine="567"/>
        <w:jc w:val="both"/>
        <w:rPr/>
      </w:pPr>
      <w:r>
        <w:rPr>
          <w:rFonts w:eastAsia="Times New Roman" w:cs="Times New Roman" w:ascii="Times New Roman" w:hAnsi="Times New Roman"/>
        </w:rPr>
        <w:t>11. В разрешении рекомендуется устанавливать сроки и условия производства работ.</w:t>
      </w:r>
    </w:p>
    <w:p>
      <w:pPr>
        <w:pStyle w:val="Normal"/>
        <w:ind w:firstLine="567"/>
        <w:jc w:val="both"/>
        <w:rPr/>
      </w:pPr>
      <w:r>
        <w:rPr>
          <w:rFonts w:eastAsia="Times New Roman" w:cs="Times New Roman" w:ascii="Times New Roman" w:hAnsi="Times New Roman"/>
        </w:rPr>
        <w:t>12. 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pPr>
        <w:pStyle w:val="Normal"/>
        <w:ind w:firstLine="567"/>
        <w:jc w:val="both"/>
        <w:rPr/>
      </w:pPr>
      <w:r>
        <w:rPr>
          <w:rFonts w:eastAsia="Times New Roman" w:cs="Times New Roman" w:ascii="Times New Roman" w:hAnsi="Times New Roman"/>
        </w:rPr>
        <w:t>Особые условия подлежат неукоснительному соблюдению строительной организацией, производящей земляные работы.</w:t>
      </w:r>
    </w:p>
    <w:p>
      <w:pPr>
        <w:pStyle w:val="Normal"/>
        <w:ind w:firstLine="567"/>
        <w:jc w:val="both"/>
        <w:rPr/>
      </w:pPr>
      <w:r>
        <w:rPr>
          <w:rFonts w:eastAsia="Times New Roman" w:cs="Times New Roman" w:ascii="Times New Roman" w:hAnsi="Times New Roman"/>
        </w:rPr>
        <w:t>13. 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топооснове.</w:t>
      </w:r>
    </w:p>
    <w:p>
      <w:pPr>
        <w:pStyle w:val="Normal"/>
        <w:ind w:firstLine="567"/>
        <w:jc w:val="both"/>
        <w:rPr/>
      </w:pPr>
      <w:r>
        <w:rPr>
          <w:rFonts w:eastAsia="Times New Roman" w:cs="Times New Roman" w:ascii="Times New Roman" w:hAnsi="Times New Roman"/>
        </w:rPr>
        <w:t>14. При производстве работ на проезжей части улиц асфальт и щебень в пределах траншеи рекомендуется разбирать и вывозить производителем работ в специально отведенное место.</w:t>
      </w:r>
    </w:p>
    <w:p>
      <w:pPr>
        <w:pStyle w:val="Normal"/>
        <w:ind w:firstLine="567"/>
        <w:jc w:val="both"/>
        <w:rPr/>
      </w:pPr>
      <w:r>
        <w:rPr>
          <w:rFonts w:eastAsia="Times New Roman" w:cs="Times New Roman" w:ascii="Times New Roman" w:hAnsi="Times New Roman"/>
        </w:rPr>
        <w:t>Бордюр разбирается, складируется на месте производства работ для дальнейшей установки.</w:t>
      </w:r>
    </w:p>
    <w:p>
      <w:pPr>
        <w:pStyle w:val="Normal"/>
        <w:ind w:firstLine="567"/>
        <w:jc w:val="both"/>
        <w:rPr/>
      </w:pPr>
      <w:r>
        <w:rPr>
          <w:rFonts w:eastAsia="Times New Roman" w:cs="Times New Roman" w:ascii="Times New Roman" w:hAnsi="Times New Roman"/>
        </w:rPr>
        <w:t>При производстве работ на улицах, застроенных территориях грунт рекомендуется немедленно вывозить.</w:t>
      </w:r>
    </w:p>
    <w:p>
      <w:pPr>
        <w:pStyle w:val="Normal"/>
        <w:ind w:firstLine="567"/>
        <w:jc w:val="both"/>
        <w:rPr/>
      </w:pPr>
      <w:r>
        <w:rPr>
          <w:rFonts w:eastAsia="Times New Roman" w:cs="Times New Roman" w:ascii="Times New Roman" w:hAnsi="Times New Roman"/>
        </w:rPr>
        <w:t>При необходимости строительная организация может обеспечивать планировку грунта на отвале.</w:t>
      </w:r>
    </w:p>
    <w:p>
      <w:pPr>
        <w:pStyle w:val="Normal"/>
        <w:ind w:firstLine="567"/>
        <w:jc w:val="both"/>
        <w:rPr/>
      </w:pPr>
      <w:r>
        <w:rPr>
          <w:rFonts w:eastAsia="Times New Roman" w:cs="Times New Roman" w:ascii="Times New Roman" w:hAnsi="Times New Roman"/>
        </w:rPr>
        <w:t>15. Траншеи под проезжей частью и тротуарами рекомендуется засыпать песком и песчаным фунтом с послойным уплотнением и поливкой водой.</w:t>
      </w:r>
    </w:p>
    <w:p>
      <w:pPr>
        <w:pStyle w:val="Normal"/>
        <w:ind w:firstLine="567"/>
        <w:jc w:val="both"/>
        <w:rPr/>
      </w:pPr>
      <w:r>
        <w:rPr>
          <w:rFonts w:eastAsia="Times New Roman" w:cs="Times New Roman" w:ascii="Times New Roman" w:hAnsi="Times New Roman"/>
        </w:rPr>
        <w:t>Траншеи на газонах рекомендуется засыпать местным грунтом с уплотнением, восстановлением плодородного слоя и посевом травы.</w:t>
      </w:r>
    </w:p>
    <w:p>
      <w:pPr>
        <w:pStyle w:val="Normal"/>
        <w:ind w:firstLine="567"/>
        <w:jc w:val="both"/>
        <w:rPr/>
      </w:pPr>
      <w:r>
        <w:rPr>
          <w:rFonts w:eastAsia="Times New Roman" w:cs="Times New Roman" w:ascii="Times New Roman" w:hAnsi="Times New Roman"/>
        </w:rPr>
        <w:t>16. Засыпку траншеи до выполнения геодезической съемки рекомендуется не допускать. Организации, получившей разрешение на проведение земляных работ, до окончания работ следует произвести геодезическую съемку.</w:t>
      </w:r>
    </w:p>
    <w:p>
      <w:pPr>
        <w:pStyle w:val="Normal"/>
        <w:ind w:firstLine="567"/>
        <w:jc w:val="both"/>
        <w:rPr/>
      </w:pPr>
      <w:r>
        <w:rPr>
          <w:rFonts w:eastAsia="Times New Roman" w:cs="Times New Roman" w:ascii="Times New Roman" w:hAnsi="Times New Roman"/>
        </w:rPr>
        <w:t>17. 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pPr>
        <w:pStyle w:val="Normal"/>
        <w:ind w:firstLine="567"/>
        <w:jc w:val="both"/>
        <w:rPr/>
      </w:pPr>
      <w:r>
        <w:rPr>
          <w:rFonts w:eastAsia="Times New Roman" w:cs="Times New Roman" w:ascii="Times New Roman" w:hAnsi="Times New Roman"/>
        </w:rPr>
        <w:t>18. 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 органов местного самоуправления имеют право составить протокол для привлечения виновных лиц к административной ответственности.</w:t>
      </w:r>
    </w:p>
    <w:p>
      <w:pPr>
        <w:pStyle w:val="Normal"/>
        <w:ind w:firstLine="567"/>
        <w:jc w:val="both"/>
        <w:rPr/>
      </w:pPr>
      <w:r>
        <w:rPr>
          <w:rFonts w:eastAsia="Times New Roman" w:cs="Times New Roman" w:ascii="Times New Roman" w:hAnsi="Times New Roman"/>
        </w:rPr>
        <w:t>19. 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рекомендуется устранять организациям, получившим разрешение на производство работ, в течение суток.</w:t>
      </w:r>
    </w:p>
    <w:p>
      <w:pPr>
        <w:pStyle w:val="Normal"/>
        <w:ind w:firstLine="567"/>
        <w:jc w:val="both"/>
        <w:rPr/>
      </w:pPr>
      <w:r>
        <w:rPr>
          <w:rFonts w:eastAsia="Times New Roman" w:cs="Times New Roman" w:ascii="Times New Roman" w:hAnsi="Times New Roman"/>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pPr>
        <w:pStyle w:val="Normal"/>
        <w:ind w:firstLine="567"/>
        <w:jc w:val="both"/>
        <w:rPr/>
      </w:pPr>
      <w:r>
        <w:rPr>
          <w:rFonts w:eastAsia="Times New Roman" w:cs="Times New Roman" w:ascii="Times New Roman" w:hAnsi="Times New Roman"/>
        </w:rPr>
        <w:t>20. Проведение работ при строительстве, ремонте, реконструкции коммуникаций по просроченным ордерам рекомендуется признавать самовольным проведением земляных работ.</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27" w:name="_Toc424230723"/>
      <w:bookmarkEnd w:id="327"/>
      <w:r>
        <w:rPr>
          <w:rFonts w:eastAsia="Times New Roman" w:cs="Times New Roman"/>
        </w:rPr>
        <w:t>Статья 77. Особые требования к доступности городской среды</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eastAsia="Times New Roman" w:cs="Times New Roman" w:ascii="Times New Roman" w:hAnsi="Times New Roman"/>
        </w:rPr>
        <w:t>1. При проектировании объектов благоустройства жилой среды, улиц и дорог, объектов обслуживания рекомендуется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pPr>
        <w:pStyle w:val="Normal"/>
        <w:ind w:firstLine="567"/>
        <w:jc w:val="both"/>
        <w:rPr/>
      </w:pPr>
      <w:r>
        <w:rPr>
          <w:rFonts w:eastAsia="Times New Roman" w:cs="Times New Roman" w:ascii="Times New Roman" w:hAnsi="Times New Roman"/>
        </w:rPr>
        <w:t>2. Проектирование, строительство, установка технических средств и оборудования, способствующих передвижению пожилых лиц и инвалидов, рекомендуется осуществлять при новом строительстве заказчиком в соответствии с утвержденной проектной документацией.</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28" w:name="_Toc424230724"/>
      <w:bookmarkEnd w:id="328"/>
      <w:r>
        <w:rPr>
          <w:rFonts w:eastAsia="Times New Roman" w:cs="Times New Roman"/>
        </w:rPr>
        <w:t>Статья 78. Праздничное оформление территории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1. Праздничное оформление территории ВТРК "Архыз" рекомендуется выполнять по решению администрации ВТРК "Архыз" на период проведения государственных и городских (сельских) праздников, мероприятий, связанных со знаменательными событиями.</w:t>
      </w:r>
    </w:p>
    <w:p>
      <w:pPr>
        <w:pStyle w:val="Normal"/>
        <w:ind w:firstLine="567"/>
        <w:jc w:val="both"/>
        <w:rPr/>
      </w:pPr>
      <w:r>
        <w:rPr>
          <w:rFonts w:eastAsia="Times New Roman" w:cs="Times New Roman" w:ascii="Times New Roman" w:hAnsi="Times New Roman"/>
        </w:rPr>
        <w:t>Оформление зданий, сооружений рекомендуется осуществлять их владельцами в рамках концепции праздничного оформления территории ВТРК "Архыз".</w:t>
      </w:r>
    </w:p>
    <w:p>
      <w:pPr>
        <w:pStyle w:val="Normal"/>
        <w:ind w:firstLine="567"/>
        <w:jc w:val="both"/>
        <w:rPr/>
      </w:pPr>
      <w:r>
        <w:rPr>
          <w:rFonts w:eastAsia="Times New Roman" w:cs="Times New Roman" w:ascii="Times New Roman" w:hAnsi="Times New Roman"/>
        </w:rPr>
        <w:t>2. Работы, связанные с проведением общегородских (сельских)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ВТРК "Архыз" в пределах средств, предусмотренных на эти цели в бюджете ВТРК "Архыз".</w:t>
      </w:r>
    </w:p>
    <w:p>
      <w:pPr>
        <w:pStyle w:val="Normal"/>
        <w:ind w:firstLine="567"/>
        <w:jc w:val="both"/>
        <w:rPr/>
      </w:pPr>
      <w:r>
        <w:rPr>
          <w:rFonts w:eastAsia="Times New Roman" w:cs="Times New Roman" w:ascii="Times New Roman" w:hAnsi="Times New Roman"/>
        </w:rPr>
        <w:t>3. 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иллюминаций.</w:t>
      </w:r>
    </w:p>
    <w:p>
      <w:pPr>
        <w:pStyle w:val="Normal"/>
        <w:ind w:firstLine="567"/>
        <w:jc w:val="both"/>
        <w:rPr/>
      </w:pPr>
      <w:r>
        <w:rPr>
          <w:rFonts w:eastAsia="Times New Roman" w:cs="Times New Roman" w:ascii="Times New Roman" w:hAnsi="Times New Roman"/>
        </w:rPr>
        <w:t>4. Концепцию праздничного оформления рекомендуется определять программой мероприятий и схемой размещения объектов и элементов праздничного оформления, утверждаемыми администрацией ВТРК "Архыз".</w:t>
      </w:r>
    </w:p>
    <w:p>
      <w:pPr>
        <w:pStyle w:val="Normal"/>
        <w:ind w:firstLine="567"/>
        <w:jc w:val="both"/>
        <w:rPr/>
      </w:pPr>
      <w:r>
        <w:rPr>
          <w:rFonts w:eastAsia="Times New Roman" w:cs="Times New Roman" w:ascii="Times New Roman" w:hAnsi="Times New Roman"/>
        </w:rPr>
        <w:t>5. При изготовлении и установке элементов праздничного оформления не рекомендуется снимать, повреждать и ухудшать видимость технических средств регулирования дорожного движения.</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2"/>
        <w:numPr>
          <w:ilvl w:val="0"/>
          <w:numId w:val="0"/>
        </w:numPr>
        <w:ind w:firstLine="567"/>
        <w:jc w:val="both"/>
        <w:rPr/>
      </w:pPr>
      <w:bookmarkStart w:id="329" w:name="_Toc424230725"/>
      <w:bookmarkEnd w:id="329"/>
      <w:r>
        <w:rPr>
          <w:rFonts w:eastAsia="Times New Roman" w:cs="Times New Roman"/>
        </w:rPr>
        <w:t>Глава 17. Иные вопросы благоустройства территории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30" w:name="_Toc424230726"/>
      <w:bookmarkEnd w:id="330"/>
      <w:r>
        <w:rPr>
          <w:rFonts w:eastAsia="Times New Roman" w:cs="Times New Roman"/>
        </w:rPr>
        <w:t>Статья 79. Контроль за соблюдением норм и правил благоустройства</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eastAsia="Times New Roman" w:cs="Times New Roman" w:ascii="Times New Roman" w:hAnsi="Times New Roman"/>
        </w:rPr>
        <w:t xml:space="preserve">Ответственные лица за осуществление благоустройства территории и порядок их привлечения к ответственности, а также лица, нарушающие основные нормы и правила благоустройства, определяются в соответствии с законодательством Российской Федерации об административных правонарушениях, законодательством </w:t>
      </w:r>
      <w:r>
        <w:rPr>
          <w:rFonts w:cs="Times New Roman" w:ascii="Times New Roman" w:hAnsi="Times New Roman"/>
        </w:rPr>
        <w:t xml:space="preserve">Карачаево-Черкесской </w:t>
      </w:r>
      <w:r>
        <w:rPr>
          <w:rFonts w:eastAsia="Times New Roman" w:cs="Times New Roman" w:ascii="Times New Roman" w:hAnsi="Times New Roman"/>
        </w:rPr>
        <w:t>Республики.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r>
        <w:br w:type="page"/>
      </w:r>
    </w:p>
    <w:p>
      <w:pPr>
        <w:pStyle w:val="1"/>
        <w:numPr>
          <w:ilvl w:val="0"/>
          <w:numId w:val="0"/>
        </w:numPr>
        <w:spacing w:lineRule="auto" w:line="240"/>
        <w:ind w:firstLine="567"/>
        <w:jc w:val="both"/>
        <w:rPr/>
      </w:pPr>
      <w:bookmarkStart w:id="331" w:name="_Toc424230727"/>
      <w:r>
        <w:rPr>
          <w:rFonts w:cs="Times New Roman"/>
        </w:rPr>
        <w:t xml:space="preserve">Часть 5. </w:t>
      </w:r>
      <w:bookmarkEnd w:id="331"/>
      <w:r>
        <w:rPr>
          <w:rFonts w:cs="Times New Roman"/>
          <w:szCs w:val="24"/>
        </w:rPr>
        <w:t>Архитектурные особенности и колористические решения застройки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2"/>
        <w:numPr>
          <w:ilvl w:val="0"/>
          <w:numId w:val="0"/>
        </w:numPr>
        <w:spacing w:lineRule="auto" w:line="240"/>
        <w:jc w:val="both"/>
        <w:rPr/>
      </w:pPr>
      <w:bookmarkStart w:id="332" w:name="_Toc424230728"/>
      <w:bookmarkEnd w:id="332"/>
      <w:r>
        <w:rPr>
          <w:rFonts w:cs="Times New Roman"/>
        </w:rPr>
        <w:t>Глава 18. Требования к архитектурным особенностям и колористическим решениям застройки</w:t>
      </w:r>
    </w:p>
    <w:p>
      <w:pPr>
        <w:pStyle w:val="Normal"/>
        <w:jc w:val="center"/>
        <w:rPr>
          <w:rFonts w:ascii="Times New Roman" w:hAnsi="Times New Roman" w:eastAsia="Times New Roman" w:cs="Times New Roman"/>
        </w:rPr>
      </w:pPr>
      <w:r>
        <w:rPr>
          <w:rFonts w:eastAsia="Times New Roman" w:cs="Times New Roman" w:ascii="Times New Roman" w:hAnsi="Times New Roman"/>
        </w:rPr>
      </w:r>
    </w:p>
    <w:p>
      <w:pPr>
        <w:pStyle w:val="3"/>
        <w:numPr>
          <w:ilvl w:val="0"/>
          <w:numId w:val="0"/>
        </w:numPr>
        <w:ind w:left="1080" w:hanging="360"/>
        <w:jc w:val="center"/>
        <w:rPr/>
      </w:pPr>
      <w:bookmarkStart w:id="333" w:name="_Toc424230729"/>
      <w:r>
        <w:rPr>
          <w:rFonts w:eastAsia="Times New Roman" w:cs="Times New Roman"/>
        </w:rPr>
        <w:t xml:space="preserve">Статья 80. Общие требования </w:t>
      </w:r>
      <w:bookmarkEnd w:id="333"/>
      <w:r>
        <w:rPr>
          <w:rFonts w:cs="Times New Roman"/>
        </w:rPr>
        <w:t>к архитектурным особенностям и колористическим решениям застройки</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Normal"/>
        <w:ind w:firstLine="567"/>
        <w:jc w:val="both"/>
        <w:rPr/>
      </w:pPr>
      <w:r>
        <w:rPr>
          <w:rFonts w:cs="Times New Roman" w:ascii="Times New Roman" w:hAnsi="Times New Roman"/>
        </w:rPr>
        <w:t>1. Настоящие требования к архитектурным особенностям и колористическим решениям застройки ВТРК «Архыз» (далее – Требования) устанавливают общие параметры и рекомендуемые характеристики элементов застройки для создания привлекательной среды ВТРК "Архыз".</w:t>
      </w:r>
    </w:p>
    <w:p>
      <w:pPr>
        <w:pStyle w:val="Normal"/>
        <w:ind w:firstLine="567"/>
        <w:jc w:val="both"/>
        <w:rPr/>
      </w:pPr>
      <w:r>
        <w:rPr>
          <w:rFonts w:cs="Times New Roman" w:ascii="Times New Roman" w:hAnsi="Times New Roman"/>
        </w:rPr>
        <w:t>2. Следование данным Требованиям позволит проектировать отдельные здания курорта в соответствии с общими принципами ВТРК "Архыз" и позволит обеспечить разнообразие решений в рамках единой общей концепции.</w:t>
      </w:r>
    </w:p>
    <w:p>
      <w:pPr>
        <w:pStyle w:val="Normal"/>
        <w:ind w:firstLine="567"/>
        <w:jc w:val="both"/>
        <w:rPr/>
      </w:pPr>
      <w:r>
        <w:rPr>
          <w:rFonts w:cs="Times New Roman" w:ascii="Times New Roman" w:hAnsi="Times New Roman"/>
        </w:rPr>
        <w:t>3. Архитектурные и колористические особенности туристических деревень ВТРК "Архыз", отмеченные в настоящих Требованиях позволят создать неповторимый стиль каждой туристической деревни.</w:t>
      </w:r>
    </w:p>
    <w:p>
      <w:pPr>
        <w:pStyle w:val="Normal"/>
        <w:ind w:firstLine="567"/>
        <w:jc w:val="both"/>
        <w:rPr/>
      </w:pPr>
      <w:r>
        <w:rPr>
          <w:rFonts w:cs="Times New Roman" w:ascii="Times New Roman" w:hAnsi="Times New Roman"/>
        </w:rPr>
        <w:t>4. Архитектурные проекты должны быть выполнены на высоком уровне, отвечать функциональным и эстетическим требованиям, должны отражать архитектурный стиль Карачаево-Черкесии, соответствовать мировым стандартам горнолыжных курортов.</w:t>
      </w:r>
    </w:p>
    <w:p>
      <w:pPr>
        <w:pStyle w:val="Normal"/>
        <w:ind w:firstLine="567"/>
        <w:jc w:val="both"/>
        <w:rPr/>
      </w:pPr>
      <w:r>
        <w:rPr>
          <w:rFonts w:cs="Times New Roman" w:ascii="Times New Roman" w:hAnsi="Times New Roman"/>
        </w:rPr>
        <w:t>5. Настоящие Требования должны применяться совместно с Нормами, а также с утвержденной градостроительной документацией ВТРК "Архыз".</w:t>
      </w:r>
    </w:p>
    <w:p>
      <w:pPr>
        <w:pStyle w:val="Normal"/>
        <w:ind w:firstLine="567"/>
        <w:jc w:val="both"/>
        <w:rPr/>
      </w:pPr>
      <w:r>
        <w:rPr>
          <w:rFonts w:cs="Times New Roman" w:ascii="Times New Roman" w:hAnsi="Times New Roman"/>
        </w:rPr>
        <w:t>6. Общий стилистический подход к застройке ВТРК "Архыз" определяется сочетанием элементов альпийского стиля, региональных традиций и традиционной архитектуры Кавказа.</w:t>
      </w:r>
    </w:p>
    <w:p>
      <w:pPr>
        <w:pStyle w:val="Normal"/>
        <w:ind w:firstLine="567"/>
        <w:jc w:val="both"/>
        <w:rPr/>
      </w:pPr>
      <w:r>
        <w:rPr>
          <w:rFonts w:cs="Times New Roman" w:ascii="Times New Roman" w:hAnsi="Times New Roman"/>
        </w:rPr>
        <w:t>Альпийский стиль:</w:t>
      </w:r>
    </w:p>
    <w:p>
      <w:pPr>
        <w:pStyle w:val="Normal"/>
        <w:ind w:firstLine="567"/>
        <w:jc w:val="both"/>
        <w:rPr/>
      </w:pPr>
      <w:r>
        <w:rPr>
          <w:rFonts w:cs="Times New Roman" w:ascii="Times New Roman" w:hAnsi="Times New Roman"/>
        </w:rPr>
        <w:t xml:space="preserve">• </w:t>
      </w:r>
      <w:r>
        <w:rPr>
          <w:rFonts w:cs="Times New Roman" w:ascii="Times New Roman" w:hAnsi="Times New Roman"/>
        </w:rPr>
        <w:t>черепичная кровля с небольшим уклоном и широкими свесами для защиты от снега;</w:t>
      </w:r>
    </w:p>
    <w:p>
      <w:pPr>
        <w:pStyle w:val="Normal"/>
        <w:ind w:firstLine="567"/>
        <w:jc w:val="both"/>
        <w:rPr/>
      </w:pPr>
      <w:r>
        <w:rPr>
          <w:rFonts w:cs="Times New Roman" w:ascii="Times New Roman" w:hAnsi="Times New Roman"/>
        </w:rPr>
        <w:t xml:space="preserve">• </w:t>
      </w:r>
      <w:r>
        <w:rPr>
          <w:rFonts w:cs="Times New Roman" w:ascii="Times New Roman" w:hAnsi="Times New Roman"/>
        </w:rPr>
        <w:t>тяжелая каменная кладка, над которой будут расположены более легкие компоненты из древесины;</w:t>
      </w:r>
    </w:p>
    <w:p>
      <w:pPr>
        <w:pStyle w:val="Normal"/>
        <w:ind w:firstLine="567"/>
        <w:jc w:val="both"/>
        <w:rPr/>
      </w:pPr>
      <w:r>
        <w:rPr>
          <w:rFonts w:cs="Times New Roman" w:ascii="Times New Roman" w:hAnsi="Times New Roman"/>
        </w:rPr>
        <w:t xml:space="preserve">• </w:t>
      </w:r>
      <w:r>
        <w:rPr>
          <w:rFonts w:cs="Times New Roman" w:ascii="Times New Roman" w:hAnsi="Times New Roman"/>
        </w:rPr>
        <w:t>лоджии.</w:t>
      </w:r>
    </w:p>
    <w:p>
      <w:pPr>
        <w:pStyle w:val="Normal"/>
        <w:ind w:firstLine="567"/>
        <w:jc w:val="both"/>
        <w:rPr/>
      </w:pPr>
      <w:r>
        <w:rPr>
          <w:rFonts w:cs="Times New Roman" w:ascii="Times New Roman" w:hAnsi="Times New Roman"/>
        </w:rPr>
        <w:t>Региональные традиции:</w:t>
      </w:r>
    </w:p>
    <w:p>
      <w:pPr>
        <w:pStyle w:val="Normal"/>
        <w:ind w:firstLine="567"/>
        <w:jc w:val="both"/>
        <w:rPr/>
      </w:pPr>
      <w:r>
        <w:rPr>
          <w:rFonts w:cs="Times New Roman" w:ascii="Times New Roman" w:hAnsi="Times New Roman"/>
        </w:rPr>
        <w:t xml:space="preserve">• </w:t>
      </w:r>
      <w:r>
        <w:rPr>
          <w:rFonts w:cs="Times New Roman" w:ascii="Times New Roman" w:hAnsi="Times New Roman"/>
        </w:rPr>
        <w:t>тяжелые конструкции из натурального камня;</w:t>
      </w:r>
    </w:p>
    <w:p>
      <w:pPr>
        <w:pStyle w:val="Normal"/>
        <w:ind w:firstLine="567"/>
        <w:jc w:val="both"/>
        <w:rPr/>
      </w:pPr>
      <w:r>
        <w:rPr>
          <w:rFonts w:cs="Times New Roman" w:ascii="Times New Roman" w:hAnsi="Times New Roman"/>
        </w:rPr>
        <w:t xml:space="preserve">• </w:t>
      </w:r>
      <w:r>
        <w:rPr>
          <w:rFonts w:cs="Times New Roman" w:ascii="Times New Roman" w:hAnsi="Times New Roman"/>
        </w:rPr>
        <w:t>глубоко посаженные окна;</w:t>
      </w:r>
    </w:p>
    <w:p>
      <w:pPr>
        <w:pStyle w:val="Normal"/>
        <w:ind w:firstLine="567"/>
        <w:jc w:val="both"/>
        <w:rPr/>
      </w:pPr>
      <w:r>
        <w:rPr>
          <w:rFonts w:cs="Times New Roman" w:ascii="Times New Roman" w:hAnsi="Times New Roman"/>
        </w:rPr>
        <w:t xml:space="preserve">• </w:t>
      </w:r>
      <w:r>
        <w:rPr>
          <w:rFonts w:cs="Times New Roman" w:ascii="Times New Roman" w:hAnsi="Times New Roman"/>
        </w:rPr>
        <w:t>симметрия;</w:t>
      </w:r>
    </w:p>
    <w:p>
      <w:pPr>
        <w:pStyle w:val="Normal"/>
        <w:ind w:firstLine="567"/>
        <w:jc w:val="both"/>
        <w:rPr/>
      </w:pPr>
      <w:r>
        <w:rPr>
          <w:rFonts w:cs="Times New Roman" w:ascii="Times New Roman" w:hAnsi="Times New Roman"/>
        </w:rPr>
        <w:t xml:space="preserve">• </w:t>
      </w:r>
      <w:r>
        <w:rPr>
          <w:rFonts w:cs="Times New Roman" w:ascii="Times New Roman" w:hAnsi="Times New Roman"/>
        </w:rPr>
        <w:t>центральный элемент в виде башни;</w:t>
      </w:r>
    </w:p>
    <w:p>
      <w:pPr>
        <w:pStyle w:val="Normal"/>
        <w:ind w:firstLine="567"/>
        <w:jc w:val="both"/>
        <w:rPr/>
      </w:pPr>
      <w:r>
        <w:rPr>
          <w:rFonts w:cs="Times New Roman" w:ascii="Times New Roman" w:hAnsi="Times New Roman"/>
        </w:rPr>
        <w:t>Традиционная архитектура:</w:t>
      </w:r>
    </w:p>
    <w:p>
      <w:pPr>
        <w:pStyle w:val="Normal"/>
        <w:ind w:firstLine="567"/>
        <w:jc w:val="both"/>
        <w:rPr/>
      </w:pPr>
      <w:r>
        <w:rPr>
          <w:rFonts w:cs="Times New Roman" w:ascii="Times New Roman" w:hAnsi="Times New Roman"/>
        </w:rPr>
        <w:t xml:space="preserve">• </w:t>
      </w:r>
      <w:r>
        <w:rPr>
          <w:rFonts w:cs="Times New Roman" w:ascii="Times New Roman" w:hAnsi="Times New Roman"/>
        </w:rPr>
        <w:t>традиционное строительство из дерева;</w:t>
      </w:r>
    </w:p>
    <w:p>
      <w:pPr>
        <w:pStyle w:val="Normal"/>
        <w:ind w:firstLine="567"/>
        <w:jc w:val="both"/>
        <w:rPr/>
      </w:pPr>
      <w:r>
        <w:rPr>
          <w:rFonts w:cs="Times New Roman" w:ascii="Times New Roman" w:hAnsi="Times New Roman"/>
        </w:rPr>
        <w:t xml:space="preserve">• </w:t>
      </w:r>
      <w:r>
        <w:rPr>
          <w:rFonts w:cs="Times New Roman" w:ascii="Times New Roman" w:hAnsi="Times New Roman"/>
        </w:rPr>
        <w:t>большое количество декоративных элементов на зданиях по всей территории туристической деревни;</w:t>
      </w:r>
    </w:p>
    <w:p>
      <w:pPr>
        <w:pStyle w:val="Normal"/>
        <w:ind w:firstLine="567"/>
        <w:jc w:val="both"/>
        <w:rPr/>
      </w:pPr>
      <w:r>
        <w:rPr>
          <w:rFonts w:cs="Times New Roman" w:ascii="Times New Roman" w:hAnsi="Times New Roman"/>
        </w:rPr>
        <w:t xml:space="preserve">• </w:t>
      </w:r>
      <w:r>
        <w:rPr>
          <w:rFonts w:cs="Times New Roman" w:ascii="Times New Roman" w:hAnsi="Times New Roman"/>
        </w:rPr>
        <w:t>симметричные парадные фасады.</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34" w:name="_Toc424230730"/>
      <w:bookmarkEnd w:id="334"/>
      <w:r>
        <w:rPr>
          <w:rFonts w:cs="Times New Roman"/>
        </w:rPr>
        <w:t>Статья 81. Характеристики туристических деревень</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В составе ВТРК "Архыз" сформировано пять туристических деревень (Романтик, Дукка, Дукка-2000, Лунная Поляна, Пхия-2200). Каждая туристическая деревня ориентирована на специфический круг потребителей (гостей) и располагается в уникальном природном окружении. Застройка каждой деревни отличается по масштабу, стилю и используемым материалам в соответствии с запросами предполагаемой категории посетителей.</w:t>
      </w:r>
    </w:p>
    <w:p>
      <w:pPr>
        <w:pStyle w:val="Normal"/>
        <w:ind w:firstLine="567"/>
        <w:jc w:val="both"/>
        <w:rPr/>
      </w:pPr>
      <w:r>
        <w:rPr>
          <w:rFonts w:cs="Times New Roman" w:ascii="Times New Roman" w:hAnsi="Times New Roman"/>
        </w:rPr>
        <w:t xml:space="preserve">2. Туристическая деревня эконом-класса Романтик ориентирована на бюджетное размещение в основном молодежи в гостиницах (класса 3 и 4 звезды), апарт-отелях, апартаментах и коттеджах. </w:t>
      </w:r>
    </w:p>
    <w:p>
      <w:pPr>
        <w:pStyle w:val="Normal"/>
        <w:ind w:firstLine="567"/>
        <w:jc w:val="both"/>
        <w:rPr/>
      </w:pPr>
      <w:r>
        <w:rPr>
          <w:rFonts w:cs="Times New Roman" w:ascii="Times New Roman" w:hAnsi="Times New Roman"/>
        </w:rPr>
        <w:t>3. Туристическая деревня Дукка повышенного эконом-класса и бизнес-класса ориентирована на семьи и гостей с высокими ожиданиями в отношении цена/качество.</w:t>
      </w:r>
    </w:p>
    <w:p>
      <w:pPr>
        <w:pStyle w:val="Normal"/>
        <w:ind w:firstLine="567"/>
        <w:jc w:val="both"/>
        <w:rPr/>
      </w:pPr>
      <w:r>
        <w:rPr>
          <w:rFonts w:cs="Times New Roman" w:ascii="Times New Roman" w:hAnsi="Times New Roman"/>
        </w:rPr>
        <w:t>4. Туристическая деревня Лунная Поляна комфорт-класса ориентирована на разнообразный круг гостей, в том числе на семьи и людей старшего возраста с размещением в гостиницах класса 3,4 и 5 звезд, апартаментах, апарт-отелях и коттеджах.</w:t>
      </w:r>
    </w:p>
    <w:p>
      <w:pPr>
        <w:pStyle w:val="Normal"/>
        <w:ind w:firstLine="567"/>
        <w:jc w:val="both"/>
        <w:rPr/>
      </w:pPr>
      <w:r>
        <w:rPr>
          <w:rFonts w:cs="Times New Roman" w:ascii="Times New Roman" w:hAnsi="Times New Roman"/>
        </w:rPr>
        <w:t>5. Туристическая деревня премиум-класса Дукка-2000 ориентирована на состоятельных гостей с размещением в гостиницах класса 4 и 5 звезд, апартаментах, апарт-отелях и коттеджах.</w:t>
      </w:r>
    </w:p>
    <w:p>
      <w:pPr>
        <w:pStyle w:val="Normal"/>
        <w:ind w:firstLine="567"/>
        <w:jc w:val="both"/>
        <w:rPr/>
      </w:pPr>
      <w:r>
        <w:rPr>
          <w:rFonts w:cs="Times New Roman" w:ascii="Times New Roman" w:hAnsi="Times New Roman"/>
        </w:rPr>
        <w:t>6. Туристическая деревня Пхия-2200 ориентирована на элитный отдых в гостинице 5 звезд класса "люкс" и коттеджах.</w:t>
      </w:r>
    </w:p>
    <w:p>
      <w:pPr>
        <w:pStyle w:val="Normal"/>
        <w:ind w:firstLine="567"/>
        <w:jc w:val="both"/>
        <w:rPr>
          <w:rFonts w:ascii="Times New Roman" w:hAnsi="Times New Roman" w:cs="Times New Roman"/>
        </w:rPr>
      </w:pPr>
      <w:r>
        <w:rPr>
          <w:rFonts w:cs="Times New Roman" w:ascii="Times New Roman" w:hAnsi="Times New Roman"/>
        </w:rPr>
      </w:r>
      <w:r>
        <w:br w:type="page"/>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35" w:name="_Toc424230731"/>
      <w:bookmarkEnd w:id="335"/>
      <w:r>
        <w:rPr>
          <w:rFonts w:cs="Times New Roman"/>
        </w:rPr>
        <w:t>Статья 82. Фасадные решения гостиниц, апарт-отелей и апартаментов</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Цоколь гостиниц, апарт-отелей и апартаментов выполняется до уровня подоконника окон первого этажа. Для отделки цоколя рекомендуется использовать натуральный камень.</w:t>
      </w:r>
    </w:p>
    <w:p>
      <w:pPr>
        <w:pStyle w:val="Normal"/>
        <w:ind w:firstLine="567"/>
        <w:jc w:val="both"/>
        <w:rPr/>
      </w:pPr>
      <w:r>
        <w:rPr>
          <w:rFonts w:cs="Times New Roman" w:ascii="Times New Roman" w:hAnsi="Times New Roman"/>
        </w:rPr>
        <w:t>2. Рекомендуется использовать большое количество массивных деревянных элементов - опорных балок для свесов кровли, галерей, веранд или пергол, являющихся единым объединяющим компонентом для всего курорта.</w:t>
      </w:r>
    </w:p>
    <w:p>
      <w:pPr>
        <w:pStyle w:val="Normal"/>
        <w:ind w:firstLine="567"/>
        <w:jc w:val="both"/>
        <w:rPr/>
      </w:pPr>
      <w:r>
        <w:rPr>
          <w:rFonts w:cs="Times New Roman" w:ascii="Times New Roman" w:hAnsi="Times New Roman"/>
        </w:rPr>
        <w:t>3. Для отделки верхних уровней гостиниц, апарт-отелей и апартаментов рекомендуется использовать обработанную древесину, в том числе обшивку вертикальными досками и панелями.</w:t>
      </w:r>
    </w:p>
    <w:p>
      <w:pPr>
        <w:pStyle w:val="Normal"/>
        <w:ind w:firstLine="567"/>
        <w:jc w:val="both"/>
        <w:rPr/>
      </w:pPr>
      <w:r>
        <w:rPr>
          <w:rFonts w:cs="Times New Roman" w:ascii="Times New Roman" w:hAnsi="Times New Roman"/>
        </w:rPr>
        <w:t>4. Площадь отштукатуренных поверхностей и лепнины не должна превышать 25 % площади стены фасада.</w:t>
      </w:r>
    </w:p>
    <w:p>
      <w:pPr>
        <w:pStyle w:val="Normal"/>
        <w:ind w:firstLine="567"/>
        <w:jc w:val="both"/>
        <w:rPr/>
      </w:pPr>
      <w:r>
        <w:rPr>
          <w:rFonts w:cs="Times New Roman" w:ascii="Times New Roman" w:hAnsi="Times New Roman"/>
        </w:rPr>
        <w:t>5. Общая площадь остекления не должна превышать 40 % от площади стен, за исключением остекления гостиниц, апарт-отелей и апартаментов на первом этаже. Не допускается сплошное остекление фасадов гостиниц, апарт-отелей и апартаментов. Необходимо разделять остекленные участки фасада глухими стенами.</w:t>
      </w:r>
    </w:p>
    <w:p>
      <w:pPr>
        <w:pStyle w:val="Normal"/>
        <w:ind w:firstLine="567"/>
        <w:jc w:val="both"/>
        <w:rPr/>
      </w:pPr>
      <w:r>
        <w:rPr>
          <w:rFonts w:cs="Times New Roman" w:ascii="Times New Roman" w:hAnsi="Times New Roman"/>
        </w:rPr>
        <w:t>6. Не допускается использовать стеклянные, металлические или сборные стеновые панели систем навесных фасадов за исключением фасадов магазинов на первом этаже.</w:t>
      </w:r>
    </w:p>
    <w:p>
      <w:pPr>
        <w:pStyle w:val="Normal"/>
        <w:ind w:firstLine="567"/>
        <w:jc w:val="both"/>
        <w:rPr/>
      </w:pPr>
      <w:r>
        <w:rPr>
          <w:rFonts w:cs="Times New Roman" w:ascii="Times New Roman" w:hAnsi="Times New Roman"/>
        </w:rPr>
        <w:t>7. Рекомендуется использовать деревянные элементы на фасадах.</w:t>
      </w:r>
    </w:p>
    <w:p>
      <w:pPr>
        <w:pStyle w:val="Normal"/>
        <w:ind w:firstLine="567"/>
        <w:jc w:val="both"/>
        <w:rPr/>
      </w:pPr>
      <w:r>
        <w:rPr>
          <w:rFonts w:cs="Times New Roman" w:ascii="Times New Roman" w:hAnsi="Times New Roman"/>
        </w:rPr>
        <w:t>8. Отдельностоящие здания гостиниц, апарт-отелей и апартаментов рекомендуется объединять декоративной стеной с арочными проемами для формирования единого фронта застройки на уровне пешеходного движения.</w:t>
      </w:r>
    </w:p>
    <w:p>
      <w:pPr>
        <w:pStyle w:val="Normal"/>
        <w:ind w:firstLine="567"/>
        <w:jc w:val="both"/>
        <w:rPr/>
      </w:pPr>
      <w:r>
        <w:rPr>
          <w:rFonts w:cs="Times New Roman" w:ascii="Times New Roman" w:hAnsi="Times New Roman"/>
        </w:rPr>
        <w:t>9. Внешний цвет отделки окон необходимо сочетать с колористическим решением фасада. Окна в деревянных рамах являются наиболее предпочтительным вариантом. Бронзированные, элоксированные алюминиевые покрытия окон и дверных рам не приветствуются.</w:t>
      </w:r>
    </w:p>
    <w:p>
      <w:pPr>
        <w:pStyle w:val="Normal"/>
        <w:ind w:firstLine="567"/>
        <w:jc w:val="both"/>
        <w:rPr/>
      </w:pPr>
      <w:r>
        <w:rPr>
          <w:rFonts w:cs="Times New Roman" w:ascii="Times New Roman" w:hAnsi="Times New Roman"/>
        </w:rPr>
        <w:t>10. Для создания цельного стилистического облика зданий все двери должны соответствовать по оформлению оконным рамам. Двери торговых помещений и кафе должны выполняться с остеклением, но только верхней половины дверей. Полное остекление не рекомендуется. Большинство дверей следует выполнять из дерева с покрытием, сохраняющим натуральную деревянную текстуру.</w:t>
      </w:r>
    </w:p>
    <w:p>
      <w:pPr>
        <w:pStyle w:val="Normal"/>
        <w:ind w:firstLine="567"/>
        <w:jc w:val="both"/>
        <w:rPr/>
      </w:pPr>
      <w:r>
        <w:rPr>
          <w:rFonts w:cs="Times New Roman" w:ascii="Times New Roman" w:hAnsi="Times New Roman"/>
        </w:rPr>
        <w:t>11. Устройство отдельных навесных балконов не рекомендуется. Необходимо предусмотреть лоджии, галереи, французские балконы с перилами, крытые веранды, небольшие террасы, пристройки и эркеры, а также открытые пространства и террасы. В гостинице необходимо предусмотреть наружные патио, галереи и веранды ресторанов и кафе. Их необходимо разместить на солнечной стороне или учесть открывающиеся виды на центры активности и окружающие пейзажи.</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36" w:name="_Toc424230732"/>
      <w:bookmarkEnd w:id="336"/>
      <w:r>
        <w:rPr>
          <w:rFonts w:cs="Times New Roman"/>
        </w:rPr>
        <w:t>Статья 83. Крыши</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Высокие скатные крыши играют важную роль в формировании внешнего облика туристической деревни, являясь одним из самых характерных элементов горной архитектуры. Скатные крыши со свесами являются обязательным компонентом всех зданий. Строительство зданий с плоскими кровлями на территории курорта запрещено.</w:t>
      </w:r>
    </w:p>
    <w:p>
      <w:pPr>
        <w:pStyle w:val="Normal"/>
        <w:ind w:firstLine="567"/>
        <w:jc w:val="both"/>
        <w:rPr/>
      </w:pPr>
      <w:r>
        <w:rPr>
          <w:rFonts w:cs="Times New Roman" w:ascii="Times New Roman" w:hAnsi="Times New Roman"/>
        </w:rPr>
        <w:t>2. Рекомендуется применение двускатных крыш. Уклон крыш должен быть не менее 20 %. Основная крыша должна иметь явно выраженную форму. В ней должны быть фронтоны и мансардные окна жилых помещений (они должны быть не только декоративными, но и функциональными). Более мелкие формы кровли должны гармонично вписываться в основной объем крыши и дополнять общую конструкцию по бокам, а не казаться ненужными пристройками фасада или крыши.</w:t>
      </w:r>
    </w:p>
    <w:p>
      <w:pPr>
        <w:pStyle w:val="Normal"/>
        <w:ind w:firstLine="567"/>
        <w:jc w:val="both"/>
        <w:rPr/>
      </w:pPr>
      <w:r>
        <w:rPr>
          <w:rFonts w:cs="Times New Roman" w:ascii="Times New Roman" w:hAnsi="Times New Roman"/>
        </w:rPr>
        <w:t>3. Все крыши должны быть запроектированы с учетом возможности проведения снегоуборочных мероприятий. При разработке проекта учесть факторы риска, связанные со снегонакоплением и обледенением.</w:t>
      </w:r>
    </w:p>
    <w:p>
      <w:pPr>
        <w:pStyle w:val="Normal"/>
        <w:ind w:firstLine="567"/>
        <w:jc w:val="both"/>
        <w:rPr/>
      </w:pPr>
      <w:r>
        <w:rPr>
          <w:rFonts w:cs="Times New Roman" w:ascii="Times New Roman" w:hAnsi="Times New Roman"/>
        </w:rPr>
        <w:t>4. При проектировании необходимо уделить особое внимание внешнему виду кровли, поскольку они будут хорошо видны с горнолыжных склонов.</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37" w:name="_Toc424230733"/>
      <w:bookmarkEnd w:id="337"/>
      <w:r>
        <w:rPr>
          <w:rFonts w:cs="Times New Roman"/>
        </w:rPr>
        <w:t>Статья 84. Традиционные мотивы в архитектуре</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В каждой туристической деревне рекомендуется применение архитектурных элементов, отображающих традиционные орнаменты, узоры и символы России и Карачаево-Черкесской республики. Они могут быть использованы в декоре, малых архитектурных формах и конструкциях зданий. Например, в оформлении оконных и дверных проемов, защитных экранов террас и лоджий, ограждения балконов и лестниц, в декоративных вставки на фасадах и в интерьерах.</w:t>
      </w:r>
    </w:p>
    <w:p>
      <w:pPr>
        <w:pStyle w:val="Normal"/>
        <w:ind w:firstLine="567"/>
        <w:jc w:val="both"/>
        <w:rPr/>
      </w:pPr>
      <w:r>
        <w:rPr>
          <w:rFonts w:cs="Times New Roman" w:ascii="Times New Roman" w:hAnsi="Times New Roman"/>
        </w:rPr>
        <w:t>2. Элементы декора в архитектуре зданий могут быть исполнены в различных отделочных материалах путём перфорации или инкрустации: металлы (преимущественно медь, текстурированные металлы и металлические сплавы, имеющие отличительные визуальные характеристики, а также устойчивые к условиям внешней среды); дерево, обработанное специальными устойчивыми составами, возможно, крашеное, но с сохранением собственной текстуры; твердые материалы в виде камней, керамики, керамогранита.</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38" w:name="_Toc424230734"/>
      <w:bookmarkEnd w:id="338"/>
      <w:r>
        <w:rPr>
          <w:rFonts w:cs="Times New Roman"/>
        </w:rPr>
        <w:t>Статья 85. Дымоходы, антенны, солнечные батареи и инженерное оборудование</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Видимые части дымовых труб должны быть облицованы камнем. Допускается выполнение дымоходов из металла, выкрашенного в черный или коричневый цвет. Недопустимо использовать неокрашенный металл, например, нержавеющую сталь или оцинкованные дымовые трубы, дефлекторы и дымовые колпаки.</w:t>
      </w:r>
    </w:p>
    <w:p>
      <w:pPr>
        <w:pStyle w:val="Normal"/>
        <w:ind w:firstLine="567"/>
        <w:jc w:val="both"/>
        <w:rPr/>
      </w:pPr>
      <w:r>
        <w:rPr>
          <w:rFonts w:cs="Times New Roman" w:ascii="Times New Roman" w:hAnsi="Times New Roman"/>
        </w:rPr>
        <w:t>2. Выступающие шахты лифтов, вентиляционные вытяжки и вентиляторы, установки центрального кондиционирования и другое оборудование не должны выходить за границы строительных конструкций здания, а быть выполнены, например, в пределах пространства кровли. Все такое оборудование, расположенное как на кровле, так и на уровне земли, не должно быть видно из зон общего пользования.</w:t>
      </w:r>
    </w:p>
    <w:p>
      <w:pPr>
        <w:pStyle w:val="Normal"/>
        <w:ind w:firstLine="567"/>
        <w:jc w:val="both"/>
        <w:rPr/>
      </w:pPr>
      <w:r>
        <w:rPr>
          <w:rFonts w:cs="Times New Roman" w:ascii="Times New Roman" w:hAnsi="Times New Roman"/>
        </w:rPr>
        <w:t>3. Не следует размещать механическое оборудование, вентиляционные каналы или электромоторы возле основных пешеходных дорожек, коммерческих объектов или других зон общего пользования.</w:t>
      </w:r>
    </w:p>
    <w:p>
      <w:pPr>
        <w:pStyle w:val="Normal"/>
        <w:ind w:firstLine="567"/>
        <w:jc w:val="both"/>
        <w:rPr/>
      </w:pPr>
      <w:r>
        <w:rPr>
          <w:rFonts w:cs="Times New Roman" w:ascii="Times New Roman" w:hAnsi="Times New Roman"/>
        </w:rPr>
        <w:t>4. Антенны рекомендуется устанавливать на задних фасадах зданий. Не следует их размещать большими группами, так как они станут слишком заметными. Любая антенна не должна возвышаться более чем на 1,5 м над кровлей.</w:t>
      </w:r>
    </w:p>
    <w:p>
      <w:pPr>
        <w:pStyle w:val="Normal"/>
        <w:ind w:firstLine="567"/>
        <w:jc w:val="both"/>
        <w:rPr/>
      </w:pPr>
      <w:r>
        <w:rPr>
          <w:rFonts w:cs="Times New Roman" w:ascii="Times New Roman" w:hAnsi="Times New Roman"/>
        </w:rPr>
        <w:t>5. Солнечные батареи нужно устанавливать таким образом, чтобы они не выступали за линию кровли. Панели должны быть разборными для удобства техобслуживания, а также не должны занимать более 50 % площади крыши.</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39" w:name="_Toc424230735"/>
      <w:bookmarkEnd w:id="339"/>
      <w:r>
        <w:rPr>
          <w:rFonts w:cs="Times New Roman"/>
        </w:rPr>
        <w:t>Статья 86. Материалы для строительства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При выборе материалов для строительства ВТРК "Архыз" необходимо учитывать архитектурные традиции Карачаево-Черкесской Республики, а также отдавать предпочтение местным природным материалам - натуральному камню и древесине. Обязательным требованием является выбор качественных материалов, чтобы сделать здания более долговечными.</w:t>
      </w:r>
    </w:p>
    <w:p>
      <w:pPr>
        <w:pStyle w:val="Normal"/>
        <w:ind w:firstLine="567"/>
        <w:jc w:val="both"/>
        <w:rPr/>
      </w:pPr>
      <w:r>
        <w:rPr>
          <w:rFonts w:cs="Times New Roman" w:ascii="Times New Roman" w:hAnsi="Times New Roman"/>
        </w:rPr>
        <w:t>2. Декоративное оформление предусмотрено только для тех элементов, которые связаны с фактическим функционированием или отображают традиционный местный стиль. Основной целью является создание деревенского стиля с использованием простых и прочных элементов, при этом соблюдение пропорций, хорошая компоновка архитектурных масс и удачное расположение зданий по отношению друг к другу позволит обеспечить простоту и гармонию планировки.</w:t>
      </w:r>
    </w:p>
    <w:p>
      <w:pPr>
        <w:pStyle w:val="Normal"/>
        <w:ind w:firstLine="567"/>
        <w:jc w:val="both"/>
        <w:rPr/>
      </w:pPr>
      <w:r>
        <w:rPr>
          <w:rFonts w:cs="Times New Roman" w:ascii="Times New Roman" w:hAnsi="Times New Roman"/>
        </w:rPr>
        <w:t>3. Использование орнаментов и украшений будет приветствоваться только для отделки функциональных элементов здания.</w:t>
      </w:r>
    </w:p>
    <w:p>
      <w:pPr>
        <w:pStyle w:val="Normal"/>
        <w:ind w:firstLine="567"/>
        <w:jc w:val="both"/>
        <w:rPr/>
      </w:pPr>
      <w:r>
        <w:rPr>
          <w:rFonts w:cs="Times New Roman" w:ascii="Times New Roman" w:hAnsi="Times New Roman"/>
        </w:rPr>
        <w:t>4. Цвета, сильно отличающиеся от цвета других зданий, не приветствуются.</w:t>
      </w:r>
    </w:p>
    <w:p>
      <w:pPr>
        <w:pStyle w:val="Normal"/>
        <w:ind w:firstLine="567"/>
        <w:jc w:val="both"/>
        <w:rPr>
          <w:rFonts w:ascii="Times New Roman" w:hAnsi="Times New Roman" w:cs="Times New Roman"/>
        </w:rPr>
      </w:pPr>
      <w:r>
        <w:rPr>
          <w:rFonts w:cs="Times New Roman" w:ascii="Times New Roman" w:hAnsi="Times New Roman"/>
        </w:rPr>
      </w:r>
    </w:p>
    <w:p>
      <w:pPr>
        <w:pStyle w:val="2"/>
        <w:numPr>
          <w:ilvl w:val="0"/>
          <w:numId w:val="0"/>
        </w:numPr>
        <w:jc w:val="both"/>
        <w:rPr/>
      </w:pPr>
      <w:bookmarkStart w:id="340" w:name="_Toc424230736"/>
      <w:bookmarkEnd w:id="340"/>
      <w:r>
        <w:rPr>
          <w:rFonts w:eastAsia="Times New Roman" w:cs="Times New Roman"/>
          <w:lang w:bidi="ru-RU"/>
        </w:rPr>
        <w:t>Глава 19. Архитектурные особенности туристических деревень</w:t>
      </w:r>
    </w:p>
    <w:p>
      <w:pPr>
        <w:pStyle w:val="Normal"/>
        <w:ind w:firstLine="567"/>
        <w:jc w:val="both"/>
        <w:rPr>
          <w:rFonts w:ascii="Times New Roman" w:hAnsi="Times New Roman" w:cs="Times New Roman"/>
        </w:rPr>
      </w:pPr>
      <w:r>
        <w:rPr>
          <w:rFonts w:cs="Times New Roman" w:ascii="Times New Roman" w:hAnsi="Times New Roman"/>
        </w:rPr>
      </w:r>
    </w:p>
    <w:p>
      <w:pPr>
        <w:pStyle w:val="2"/>
        <w:numPr>
          <w:ilvl w:val="0"/>
          <w:numId w:val="0"/>
        </w:numPr>
        <w:spacing w:lineRule="auto" w:line="240"/>
        <w:jc w:val="center"/>
        <w:rPr/>
      </w:pPr>
      <w:bookmarkStart w:id="341" w:name="_Toc424230737"/>
      <w:bookmarkEnd w:id="341"/>
      <w:r>
        <w:rPr>
          <w:rFonts w:cs="Times New Roman"/>
          <w:b w:val="false"/>
        </w:rPr>
        <w:t>Статья 87. Требования к архитектурному стилю туристической деревни Романтик</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Архитектурный стиль туристической деревни Романтик должен демонстрировать все атрибуты традиционного горнолыжного курорта, быть интересным, многообразным, с использованием натуральных материалов и значительным количеством декоративных акцентов, демонстрируя молодежный характер и открытость туристической деревни.</w:t>
      </w:r>
    </w:p>
    <w:p>
      <w:pPr>
        <w:pStyle w:val="Normal"/>
        <w:ind w:firstLine="567"/>
        <w:jc w:val="both"/>
        <w:rPr/>
      </w:pPr>
      <w:r>
        <w:rPr>
          <w:rFonts w:cs="Times New Roman" w:ascii="Times New Roman" w:hAnsi="Times New Roman"/>
        </w:rPr>
        <w:t>2. У зданий гостиниц и апартаментов должна была ступенчатая форма, что позволит разнообразить компоновку архитектурных масс и гармонично вписать здания в рельеф. Общие пропорции здания должны скорее подчеркивать вертикаль, а не горизонталь.</w:t>
      </w:r>
    </w:p>
    <w:p>
      <w:pPr>
        <w:pStyle w:val="Normal"/>
        <w:ind w:firstLine="567"/>
        <w:jc w:val="both"/>
        <w:rPr/>
      </w:pPr>
      <w:r>
        <w:rPr>
          <w:rFonts w:cs="Times New Roman" w:ascii="Times New Roman" w:hAnsi="Times New Roman"/>
        </w:rPr>
        <w:t>3. Рекомендуется предусмотреть отдельные акценты (например, башню с часами или обзорную галерею), чтобы улучшить компоновку архитектурных масс и общую структуру застройки. Проектирование более высоких структурных элементов потребует анализа углов обзора для прилегающих территорий и зданий.</w:t>
      </w:r>
    </w:p>
    <w:p>
      <w:pPr>
        <w:pStyle w:val="Normal"/>
        <w:ind w:firstLine="567"/>
        <w:jc w:val="both"/>
        <w:rPr/>
      </w:pPr>
      <w:r>
        <w:rPr>
          <w:rFonts w:cs="Times New Roman" w:ascii="Times New Roman" w:hAnsi="Times New Roman"/>
        </w:rPr>
        <w:t>4. Крыши - различные по форме и высоте. Основная четырехскатная кровля со свесом должна возвышаться над остальными элементами крыши. Чтобы оживить линию кровли, следует использовать больше элементов мансардных и четырехскатных крыш различных по форме и высоте. Кровли должны иметь уклон 20-30 %, предпочтительно, с большими выступами и свесами.</w:t>
      </w:r>
    </w:p>
    <w:p>
      <w:pPr>
        <w:pStyle w:val="Normal"/>
        <w:ind w:firstLine="567"/>
        <w:jc w:val="both"/>
        <w:rPr/>
      </w:pPr>
      <w:r>
        <w:rPr>
          <w:rFonts w:cs="Times New Roman" w:ascii="Times New Roman" w:hAnsi="Times New Roman"/>
        </w:rPr>
        <w:t>5. Рекомендуется выполнить навесы и галереи с колоннадами и террасы на первых этажах, а также предусмотреть их соединение с галереями соседних блоков гостиниц и апартаментов.</w:t>
      </w:r>
    </w:p>
    <w:p>
      <w:pPr>
        <w:pStyle w:val="Normal"/>
        <w:ind w:firstLine="567"/>
        <w:jc w:val="both"/>
        <w:rPr/>
      </w:pPr>
      <w:r>
        <w:rPr>
          <w:rFonts w:cs="Times New Roman" w:ascii="Times New Roman" w:hAnsi="Times New Roman"/>
        </w:rPr>
        <w:t>6. Основная особенность архитектурной отделки туристической деревни Романтик - это использование бюджетных, но добротных материалов, где богатой фактуре и сложным природным тонам натуральных и дорогих отделочных материалов противостоит практичность, яркость и качественное исполнение искусственных, композитных и простых материалов (см. Рисунки 1-3).</w:t>
      </w:r>
    </w:p>
    <w:p>
      <w:pPr>
        <w:pStyle w:val="Normal"/>
        <w:ind w:firstLine="567"/>
        <w:jc w:val="both"/>
        <w:rPr/>
      </w:pPr>
      <w:r>
        <w:rPr>
          <w:rFonts w:cs="Times New Roman" w:ascii="Times New Roman" w:hAnsi="Times New Roman"/>
        </w:rPr>
        <w:t>Вариант 1 (контрастные цвета с красным акцентом)</w:t>
      </w:r>
    </w:p>
    <w:p>
      <w:pPr>
        <w:pStyle w:val="Normal"/>
        <w:ind w:firstLine="567"/>
        <w:jc w:val="both"/>
        <w:rPr/>
      </w:pPr>
      <w:r>
        <w:rPr>
          <w:rFonts w:cs="Times New Roman" w:ascii="Times New Roman" w:hAnsi="Times New Roman"/>
        </w:rPr>
        <w:t>Фасады. Преобладание светлых полутонов в отделочных материалах - около 60-70 % фактурной штукатурки и качественной имитации каменной кладки молочных оттенков по цоколю здания сочетаются с облицовочными темными деревянными панелями, которые выделяют некоторые элементы объема.</w:t>
      </w:r>
    </w:p>
    <w:p>
      <w:pPr>
        <w:pStyle w:val="Normal"/>
        <w:ind w:firstLine="567"/>
        <w:jc w:val="both"/>
        <w:rPr/>
      </w:pPr>
      <w:r>
        <w:rPr>
          <w:rFonts w:cs="Times New Roman" w:ascii="Times New Roman" w:hAnsi="Times New Roman"/>
        </w:rPr>
        <w:t>Кровля. Использование металлической черепицы пурпурно-дымчатого оттенка.</w:t>
      </w:r>
    </w:p>
    <w:p>
      <w:pPr>
        <w:pStyle w:val="Normal"/>
        <w:ind w:firstLine="567"/>
        <w:jc w:val="both"/>
        <w:rPr/>
      </w:pPr>
      <w:r>
        <w:rPr>
          <w:rFonts w:cs="Times New Roman" w:ascii="Times New Roman" w:hAnsi="Times New Roman"/>
        </w:rPr>
        <w:t>Палитра акцентов. Конструктивные детали, выкрашенные в насыщенный бордовый цвет (RAL 3016), акцентируют на себе внимание в общей, достаточно простой, форме архитектурного массива.</w:t>
      </w:r>
    </w:p>
    <w:p>
      <w:pPr>
        <w:pStyle w:val="Normal"/>
        <w:jc w:val="both"/>
        <w:rPr/>
      </w:pPr>
      <w:r>
        <w:drawing>
          <wp:anchor behindDoc="0" distT="0" distB="0" distL="133350" distR="114300" simplePos="0" locked="0" layoutInCell="1" allowOverlap="1" relativeHeight="8">
            <wp:simplePos x="0" y="0"/>
            <wp:positionH relativeFrom="column">
              <wp:posOffset>0</wp:posOffset>
            </wp:positionH>
            <wp:positionV relativeFrom="paragraph">
              <wp:posOffset>266065</wp:posOffset>
            </wp:positionV>
            <wp:extent cx="5928360" cy="3959225"/>
            <wp:effectExtent l="0" t="0" r="0" b="0"/>
            <wp:wrapTopAndBottom/>
            <wp:docPr id="1" name="Изображение1" descr="G:\PROJECTS\АРХЫЗ-2\РАБОТА\АИКОМ № 237_Подэтапы 5.2_6.2_7.2\jpg\150326_Страница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G:\PROJECTS\АРХЫЗ-2\РАБОТА\АИКОМ № 237_Подэтапы 5.2_6.2_7.2\jpg\150326_Страница_048.jpg"/>
                    <pic:cNvPicPr>
                      <a:picLocks noChangeAspect="1" noChangeArrowheads="1"/>
                    </pic:cNvPicPr>
                  </pic:nvPicPr>
                  <pic:blipFill>
                    <a:blip r:embed="rId65"/>
                    <a:srcRect l="0" t="51469" r="0" b="0"/>
                    <a:stretch>
                      <a:fillRect/>
                    </a:stretch>
                  </pic:blipFill>
                  <pic:spPr bwMode="auto">
                    <a:xfrm>
                      <a:off x="0" y="0"/>
                      <a:ext cx="5928360" cy="3959225"/>
                    </a:xfrm>
                    <a:prstGeom prst="rect">
                      <a:avLst/>
                    </a:prstGeom>
                  </pic:spPr>
                </pic:pic>
              </a:graphicData>
            </a:graphic>
          </wp:anchor>
        </w:drawing>
      </w:r>
      <w:r>
        <w:rPr>
          <w:rFonts w:cs="Times New Roman" w:ascii="Times New Roman" w:hAnsi="Times New Roman"/>
        </w:rPr>
        <w:t>Р</w:t>
      </w:r>
      <w:r>
        <w:rPr>
          <w:rFonts w:cs="Times New Roman" w:ascii="Times New Roman" w:hAnsi="Times New Roman"/>
        </w:rPr>
        <w:t>исунок 1. Колористическое решение туристической деревни Романтик (вариант 1).</w:t>
      </w:r>
    </w:p>
    <w:p>
      <w:pPr>
        <w:pStyle w:val="Normal"/>
        <w:ind w:firstLine="567"/>
        <w:jc w:val="both"/>
        <w:rPr/>
      </w:pPr>
      <w:r>
        <w:rPr>
          <w:rFonts w:cs="Times New Roman" w:ascii="Times New Roman" w:hAnsi="Times New Roman"/>
        </w:rPr>
        <w:t>Вариант 2 (светлые цвета с рыжим акцентом)</w:t>
      </w:r>
    </w:p>
    <w:p>
      <w:pPr>
        <w:pStyle w:val="Normal"/>
        <w:ind w:firstLine="567"/>
        <w:jc w:val="both"/>
        <w:rPr/>
      </w:pPr>
      <w:r>
        <w:rPr>
          <w:rFonts w:cs="Times New Roman" w:ascii="Times New Roman" w:hAnsi="Times New Roman"/>
        </w:rPr>
        <w:t>Фасады. Равномерное соотношение светлой гладкой штукатурки с панелями искусственного камня, имитирующими кладку «плитняк». С помощью отделочных элементов под дерево можно придать ритм фасаду или подчеркнуть выступающие детали вытянутого по горизонтали здания.</w:t>
      </w:r>
    </w:p>
    <w:p>
      <w:pPr>
        <w:pStyle w:val="Normal"/>
        <w:ind w:firstLine="567"/>
        <w:jc w:val="both"/>
        <w:rPr/>
      </w:pPr>
      <w:r>
        <w:rPr>
          <w:rFonts w:cs="Times New Roman" w:ascii="Times New Roman" w:hAnsi="Times New Roman"/>
        </w:rPr>
        <w:t>Кровля. Возможно покрытие керамической огнеупорной черепицей или терракотой землистых цветов, а также композитного фактурного материала подобного натуральной черепице.</w:t>
      </w:r>
    </w:p>
    <w:p>
      <w:pPr>
        <w:pStyle w:val="Normal"/>
        <w:ind w:firstLine="567"/>
        <w:jc w:val="both"/>
        <w:rPr/>
      </w:pPr>
      <w:r>
        <w:rPr>
          <w:rFonts w:cs="Times New Roman" w:ascii="Times New Roman" w:hAnsi="Times New Roman"/>
        </w:rPr>
        <w:t>Палитра акцентов. Акцент оранжево-охристого цвета (RAL 2011) может быть на отдельных повторяющихся элементах фасада, например, террасах или ставнях.</w:t>
      </w:r>
    </w:p>
    <w:p>
      <w:pPr>
        <w:pStyle w:val="Normal"/>
        <w:ind w:firstLine="567"/>
        <w:jc w:val="both"/>
        <w:rPr>
          <w:rFonts w:ascii="Times New Roman" w:hAnsi="Times New Roman" w:cs="Times New Roman"/>
        </w:rPr>
      </w:pPr>
      <w:r>
        <w:rPr>
          <w:rFonts w:cs="Times New Roman" w:ascii="Times New Roman" w:hAnsi="Times New Roman"/>
        </w:rPr>
        <w:drawing>
          <wp:anchor behindDoc="0" distT="0" distB="9525" distL="114300" distR="118745" simplePos="0" locked="0" layoutInCell="1" allowOverlap="1" relativeHeight="2">
            <wp:simplePos x="0" y="0"/>
            <wp:positionH relativeFrom="column">
              <wp:posOffset>451485</wp:posOffset>
            </wp:positionH>
            <wp:positionV relativeFrom="paragraph">
              <wp:posOffset>473710</wp:posOffset>
            </wp:positionV>
            <wp:extent cx="5558155" cy="3819525"/>
            <wp:effectExtent l="0" t="0" r="0" b="0"/>
            <wp:wrapTopAndBottom/>
            <wp:docPr id="2" name="Рисунок 20" descr="G:\PROJECTS\АРХЫЗ-2\РАБОТА\АИКОМ № 237_Подэтапы 5.2_6.2_7.2\jpg\150326_Страница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0" descr="G:\PROJECTS\АРХЫЗ-2\РАБОТА\АИКОМ № 237_Подэтапы 5.2_6.2_7.2\jpg\150326_Страница_048.jpg"/>
                    <pic:cNvPicPr>
                      <a:picLocks noChangeAspect="1" noChangeArrowheads="1"/>
                    </pic:cNvPicPr>
                  </pic:nvPicPr>
                  <pic:blipFill>
                    <a:blip r:embed="rId66"/>
                    <a:srcRect l="0" t="0" r="0" b="50052"/>
                    <a:stretch>
                      <a:fillRect/>
                    </a:stretch>
                  </pic:blipFill>
                  <pic:spPr bwMode="auto">
                    <a:xfrm>
                      <a:off x="0" y="0"/>
                      <a:ext cx="5558155" cy="3819525"/>
                    </a:xfrm>
                    <a:prstGeom prst="rect">
                      <a:avLst/>
                    </a:prstGeom>
                  </pic:spPr>
                </pic:pic>
              </a:graphicData>
            </a:graphic>
          </wp:anchor>
        </w:drawing>
      </w:r>
    </w:p>
    <w:p>
      <w:pPr>
        <w:pStyle w:val="TableofFigures1"/>
        <w:ind w:firstLine="567"/>
        <w:jc w:val="both"/>
        <w:rPr/>
      </w:pPr>
      <w:r>
        <w:rPr>
          <w:rFonts w:cs="Times New Roman" w:ascii="Times New Roman" w:hAnsi="Times New Roman"/>
        </w:rPr>
        <w:t>Рисунок 2. Колористическое решение туристической деревни Романтик (вариант 2).</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Вариант 3 (темные цвета с яркими комбинированными акцентами)</w:t>
      </w:r>
    </w:p>
    <w:p>
      <w:pPr>
        <w:pStyle w:val="Normal"/>
        <w:ind w:firstLine="567"/>
        <w:jc w:val="both"/>
        <w:rPr/>
      </w:pPr>
      <w:r>
        <w:rPr>
          <w:rFonts w:cs="Times New Roman" w:ascii="Times New Roman" w:hAnsi="Times New Roman"/>
        </w:rPr>
        <w:t>Фасады. Наружная отделка фасадов сформирует архитектурный облик здания за счет цветовой композиции элементов. Основной объем предполагается однородного цвета, темного или натурального дерева, выполненный из однотонных облицовочных панелей под дерево или комбинацией штукатурки и искусственного камня, имитирующего горную породу.</w:t>
      </w:r>
    </w:p>
    <w:p>
      <w:pPr>
        <w:pStyle w:val="Normal"/>
        <w:ind w:firstLine="567"/>
        <w:jc w:val="both"/>
        <w:rPr/>
      </w:pPr>
      <w:r>
        <w:rPr>
          <w:rFonts w:cs="Times New Roman" w:ascii="Times New Roman" w:hAnsi="Times New Roman"/>
        </w:rPr>
        <w:t>Кровля. Огнеупорная черепица или терракота насыщенного коричневого оттенка сложной конфигурации.</w:t>
      </w:r>
    </w:p>
    <w:p>
      <w:pPr>
        <w:pStyle w:val="Normal"/>
        <w:ind w:firstLine="567"/>
        <w:jc w:val="both"/>
        <w:rPr>
          <w:rFonts w:ascii="Times New Roman" w:hAnsi="Times New Roman" w:cs="Times New Roman"/>
        </w:rPr>
      </w:pPr>
      <w:r>
        <w:rPr>
          <w:rFonts w:cs="Times New Roman" w:ascii="Times New Roman" w:hAnsi="Times New Roman"/>
        </w:rPr>
        <w:drawing>
          <wp:anchor behindDoc="0" distT="0" distB="0" distL="114300" distR="120650" simplePos="0" locked="0" layoutInCell="1" allowOverlap="1" relativeHeight="4">
            <wp:simplePos x="0" y="0"/>
            <wp:positionH relativeFrom="column">
              <wp:posOffset>520065</wp:posOffset>
            </wp:positionH>
            <wp:positionV relativeFrom="paragraph">
              <wp:posOffset>270510</wp:posOffset>
            </wp:positionV>
            <wp:extent cx="5422265" cy="3818890"/>
            <wp:effectExtent l="0" t="0" r="0" b="0"/>
            <wp:wrapTopAndBottom/>
            <wp:docPr id="3" name="Изображение2" descr="G:\PROJECTS\АРХЫЗ-2\РАБОТА\АИКОМ № 237_Подэтапы 5.2_6.2_7.2\jpg\150326_Страница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 descr="G:\PROJECTS\АРХЫЗ-2\РАБОТА\АИКОМ № 237_Подэтапы 5.2_6.2_7.2\jpg\150326_Страница_049.jpg"/>
                    <pic:cNvPicPr>
                      <a:picLocks noChangeAspect="1" noChangeArrowheads="1"/>
                    </pic:cNvPicPr>
                  </pic:nvPicPr>
                  <pic:blipFill>
                    <a:blip r:embed="rId67"/>
                    <a:stretch>
                      <a:fillRect/>
                    </a:stretch>
                  </pic:blipFill>
                  <pic:spPr bwMode="auto">
                    <a:xfrm>
                      <a:off x="0" y="0"/>
                      <a:ext cx="5422265" cy="3818890"/>
                    </a:xfrm>
                    <a:prstGeom prst="rect">
                      <a:avLst/>
                    </a:prstGeom>
                  </pic:spPr>
                </pic:pic>
              </a:graphicData>
            </a:graphic>
          </wp:anchor>
        </w:drawing>
      </w:r>
    </w:p>
    <w:p>
      <w:pPr>
        <w:pStyle w:val="TableofFigures1"/>
        <w:ind w:firstLine="567"/>
        <w:jc w:val="both"/>
        <w:rPr/>
      </w:pPr>
      <w:r>
        <w:rPr>
          <w:rFonts w:cs="Times New Roman" w:ascii="Times New Roman" w:hAnsi="Times New Roman"/>
        </w:rPr>
        <w:t>Рисунок 3. Колористическое решение туристической деревни Романтик (вариант 3).</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Палитра акцентов. Яркие терракотовые крупные архитектурные элементы (RAL 3016) могут дополнять оранжевые детали (RAL 2011) не более 30 % от общего цвета акцентов.</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42" w:name="_Toc424230738"/>
      <w:bookmarkEnd w:id="342"/>
      <w:r>
        <w:rPr>
          <w:rFonts w:cs="Times New Roman"/>
        </w:rPr>
        <w:t>Статья 88. Требования к архитектурному стилю туристической деревни Дукка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Архитектурный стиль туристической деревни Дукка должен демонстрировать все атрибуты традиционного горнолыжного курорта, быть интересным, многообразным, с использованием натуральных материалов и значительным количеством декоративных элементов и необычных деталей, демонстрируя высокий уровень качества горнолыжного курорта.</w:t>
      </w:r>
    </w:p>
    <w:p>
      <w:pPr>
        <w:pStyle w:val="Normal"/>
        <w:ind w:firstLine="567"/>
        <w:jc w:val="both"/>
        <w:rPr/>
      </w:pPr>
      <w:r>
        <w:rPr>
          <w:rFonts w:cs="Times New Roman" w:ascii="Times New Roman" w:hAnsi="Times New Roman"/>
        </w:rPr>
        <w:t>2. Рекомендуется проектировать здания необычной и разнообразной формы для того, чтобы создать интересный стиль застройки. Здания большого размера следует разбивать на небольшие объемы в виде террас и фронтонов, обращенных в сторону площадей, чтобы они выглядели как серия строений меньшего размера.</w:t>
      </w:r>
    </w:p>
    <w:p>
      <w:pPr>
        <w:pStyle w:val="Normal"/>
        <w:ind w:firstLine="567"/>
        <w:jc w:val="both"/>
        <w:rPr/>
      </w:pPr>
      <w:r>
        <w:rPr>
          <w:rFonts w:cs="Times New Roman" w:ascii="Times New Roman" w:hAnsi="Times New Roman"/>
        </w:rPr>
        <w:t>3. В гостиницах категорий 3 и 4 звезды наряду с двускатными используются элементы мансардных и четырехскатных крыш. Уклон кровли - 20-30 %. Общие пропорции этих зданий должны подчеркивать вертикаль, а не горизонталь.</w:t>
      </w:r>
    </w:p>
    <w:p>
      <w:pPr>
        <w:pStyle w:val="Normal"/>
        <w:ind w:firstLine="567"/>
        <w:jc w:val="both"/>
        <w:rPr/>
      </w:pPr>
      <w:r>
        <w:rPr>
          <w:rFonts w:cs="Times New Roman" w:ascii="Times New Roman" w:hAnsi="Times New Roman"/>
        </w:rPr>
        <w:t>4. В гостиницах категорий 5 звезд следует использовать компоненты двускатных и мансардных крыш в различных комбинациях, и при этом общая форма архитектурной массы должна быть более горизонтальной, чем в гостиницах категорий 3 и 4 звезды. Уклон кровли - 20-25%. В отделке используются горизонтальные полосы, выполненные из различных отделочных материалов (преимущественно - древесина). На нижнем уровне необходимо предусмотреть протяженную террасу или навес, подчеркивающие общее горизонтальное членение фасада.</w:t>
      </w:r>
    </w:p>
    <w:p>
      <w:pPr>
        <w:pStyle w:val="Normal"/>
        <w:ind w:firstLine="567"/>
        <w:jc w:val="both"/>
        <w:rPr/>
      </w:pPr>
      <w:r>
        <w:rPr>
          <w:rFonts w:cs="Times New Roman" w:ascii="Times New Roman" w:hAnsi="Times New Roman"/>
        </w:rPr>
        <w:t>5. Коттеджи должны соответствовать архитектурной концепции ВТРК "Архыз". На нижних этажах общая для всех зданий каменная или кирпичная облицовка. На верхних этажах — штукатурное покрытие или дерево. Уклон кровли - 20-30 %. Для создания уникального облика рекомендуется использование декоративных орнаментов.</w:t>
      </w:r>
    </w:p>
    <w:p>
      <w:pPr>
        <w:pStyle w:val="Normal"/>
        <w:ind w:firstLine="567"/>
        <w:jc w:val="both"/>
        <w:rPr/>
      </w:pPr>
      <w:r>
        <w:rPr>
          <w:rFonts w:cs="Times New Roman" w:ascii="Times New Roman" w:hAnsi="Times New Roman"/>
        </w:rPr>
        <w:t>6. Основная особенность архитектурной отделки туристической деревни Дукка - применение качественных, преимущественно натуральных материалов и цветовое решение фасадов, основанное на принципе контраста (см. Рисунки 4-6).</w:t>
      </w:r>
    </w:p>
    <w:p>
      <w:pPr>
        <w:pStyle w:val="Normal"/>
        <w:ind w:firstLine="567"/>
        <w:jc w:val="both"/>
        <w:rPr/>
      </w:pPr>
      <w:r>
        <w:rPr>
          <w:rFonts w:cs="Times New Roman" w:ascii="Times New Roman" w:hAnsi="Times New Roman"/>
        </w:rPr>
        <w:t>Вариант 1 (контрастные цвета с традиционным орнаментом в современном исполнении)</w:t>
      </w:r>
    </w:p>
    <w:p>
      <w:pPr>
        <w:pStyle w:val="Normal"/>
        <w:ind w:firstLine="567"/>
        <w:jc w:val="both"/>
        <w:rPr/>
      </w:pPr>
      <w:r>
        <w:rPr>
          <w:rFonts w:cs="Times New Roman" w:ascii="Times New Roman" w:hAnsi="Times New Roman"/>
        </w:rPr>
        <w:t>Фасады. Штукатурная отделка светло-серых оттенков контрастирует с темно-коричневыми деревянными элементами - фасадными панелями, перилами балконов, оконными переплетами и т.п. Соотношение светлых и темных оттенков может быть различным: 40/60, 50/50, 60/40. В отделке цоколя используется натуральный пиленый камень с колотой или бучардированной внешней гранью, образующий рельефную поверхность.</w:t>
      </w:r>
    </w:p>
    <w:p>
      <w:pPr>
        <w:pStyle w:val="Normal"/>
        <w:ind w:firstLine="567"/>
        <w:jc w:val="both"/>
        <w:rPr/>
      </w:pPr>
      <w:r>
        <w:rPr>
          <w:rFonts w:cs="Times New Roman" w:ascii="Times New Roman" w:hAnsi="Times New Roman"/>
        </w:rPr>
        <w:t>Кровля. Рекомендуется применение плоского черепичного покрытия из металлических сплавов на основе меди и цинка, общий тон - темно-коричневый или темно-серый. Нежелательно покрытие из чистой меди.</w:t>
      </w:r>
    </w:p>
    <w:p>
      <w:pPr>
        <w:pStyle w:val="Normal"/>
        <w:ind w:firstLine="567"/>
        <w:jc w:val="both"/>
        <w:rPr/>
      </w:pPr>
      <w:r>
        <w:rPr>
          <w:rFonts w:cs="Times New Roman" w:ascii="Times New Roman" w:hAnsi="Times New Roman"/>
        </w:rPr>
        <w:t>Палитра акцентов. Акцентные элементы фасадов выделены за счет своей формы и детализации. Цвет акцента соответствует основной гамме фасада. Возможные элементы - орнаментальные фасадные панели, перила террас, ставни на окнах и т.п.</w:t>
      </w:r>
    </w:p>
    <w:p>
      <w:pPr>
        <w:pStyle w:val="Normal"/>
        <w:ind w:firstLine="567"/>
        <w:jc w:val="both"/>
        <w:rPr>
          <w:rFonts w:ascii="Times New Roman" w:hAnsi="Times New Roman" w:cs="Times New Roman"/>
        </w:rPr>
      </w:pPr>
      <w:r>
        <w:rPr>
          <w:rFonts w:cs="Times New Roman" w:ascii="Times New Roman" w:hAnsi="Times New Roman"/>
        </w:rPr>
        <w:drawing>
          <wp:anchor behindDoc="0" distT="0" distB="0" distL="133350" distR="114300" simplePos="0" locked="0" layoutInCell="1" allowOverlap="1" relativeHeight="3">
            <wp:simplePos x="0" y="0"/>
            <wp:positionH relativeFrom="column">
              <wp:posOffset>-173355</wp:posOffset>
            </wp:positionH>
            <wp:positionV relativeFrom="paragraph">
              <wp:posOffset>375285</wp:posOffset>
            </wp:positionV>
            <wp:extent cx="5946140" cy="3816985"/>
            <wp:effectExtent l="0" t="0" r="0" b="0"/>
            <wp:wrapTopAndBottom/>
            <wp:docPr id="4" name="Изображение3" descr="G:\PROJECTS\АРХЫЗ-2\РАБОТА\АИКОМ № 237_Подэтапы 5.2_6.2_7.2\jpg\150326_Страница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3" descr="G:\PROJECTS\АРХЫЗ-2\РАБОТА\АИКОМ № 237_Подэтапы 5.2_6.2_7.2\jpg\150326_Страница_106.jpg"/>
                    <pic:cNvPicPr>
                      <a:picLocks noChangeAspect="1" noChangeArrowheads="1"/>
                    </pic:cNvPicPr>
                  </pic:nvPicPr>
                  <pic:blipFill>
                    <a:blip r:embed="rId68"/>
                    <a:srcRect l="0" t="0" r="0" b="52275"/>
                    <a:stretch>
                      <a:fillRect/>
                    </a:stretch>
                  </pic:blipFill>
                  <pic:spPr bwMode="auto">
                    <a:xfrm>
                      <a:off x="0" y="0"/>
                      <a:ext cx="5946140" cy="3816985"/>
                    </a:xfrm>
                    <a:prstGeom prst="rect">
                      <a:avLst/>
                    </a:prstGeom>
                  </pic:spPr>
                </pic:pic>
              </a:graphicData>
            </a:graphic>
          </wp:anchor>
        </w:drawing>
      </w:r>
    </w:p>
    <w:p>
      <w:pPr>
        <w:pStyle w:val="TableofFigures1"/>
        <w:ind w:firstLine="567"/>
        <w:jc w:val="both"/>
        <w:rPr/>
      </w:pPr>
      <w:r>
        <w:rPr>
          <w:rFonts w:cs="Times New Roman" w:ascii="Times New Roman" w:hAnsi="Times New Roman"/>
        </w:rPr>
        <w:t>Рисунок 4. Колористическое решение туристической деревни Дукка (вариант 1).</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Вариант 2 (контрастные цвета с акцентами из камня)</w:t>
      </w:r>
    </w:p>
    <w:p>
      <w:pPr>
        <w:pStyle w:val="Normal"/>
        <w:ind w:firstLine="567"/>
        <w:jc w:val="both"/>
        <w:rPr/>
      </w:pPr>
      <w:r>
        <w:rPr>
          <w:rFonts w:cs="Times New Roman" w:ascii="Times New Roman" w:hAnsi="Times New Roman"/>
        </w:rPr>
        <w:t>Фасады. Основные материалы фасада - как в варианте 1, в отделке цоколя и нижних этажей зданий используется облицовочный кирпич темных оттенков ручной формовки либо с «состаренной» поверхностью. Нежелательна глазурованная блестящая поверхность.</w:t>
      </w:r>
    </w:p>
    <w:p>
      <w:pPr>
        <w:pStyle w:val="Normal"/>
        <w:ind w:firstLine="567"/>
        <w:jc w:val="both"/>
        <w:rPr/>
      </w:pPr>
      <w:r>
        <w:rPr>
          <w:rFonts w:cs="Times New Roman" w:ascii="Times New Roman" w:hAnsi="Times New Roman"/>
        </w:rPr>
        <w:t>Кровля. Плоская керамическая черепица темно-серо-коричневого либо серо-черного цвета.</w:t>
      </w:r>
    </w:p>
    <w:p>
      <w:pPr>
        <w:pStyle w:val="Normal"/>
        <w:ind w:firstLine="567"/>
        <w:jc w:val="both"/>
        <w:rPr/>
      </w:pPr>
      <w:r>
        <w:rPr>
          <w:rFonts w:cs="Times New Roman" w:ascii="Times New Roman" w:hAnsi="Times New Roman"/>
        </w:rPr>
        <w:t>Палитра акцентов. В качестве акцентных элементов предлагается использовать орнаменты/резьбу из камня с традиционными местными мотивами.</w:t>
      </w:r>
    </w:p>
    <w:p>
      <w:pPr>
        <w:pStyle w:val="Normal"/>
        <w:ind w:firstLine="567"/>
        <w:jc w:val="both"/>
        <w:rPr>
          <w:rFonts w:ascii="Times New Roman" w:hAnsi="Times New Roman" w:cs="Times New Roman"/>
          <w:b/>
          <w:b/>
        </w:rPr>
      </w:pPr>
      <w:r>
        <w:rPr>
          <w:rFonts w:cs="Times New Roman" w:ascii="Times New Roman" w:hAnsi="Times New Roman"/>
          <w:b/>
        </w:rPr>
      </w:r>
    </w:p>
    <w:p>
      <w:pPr>
        <w:pStyle w:val="TableofFigures1"/>
        <w:ind w:firstLine="567"/>
        <w:jc w:val="both"/>
        <w:rPr/>
      </w:pPr>
      <w:r>
        <w:drawing>
          <wp:anchor behindDoc="0" distT="0" distB="0" distL="133350" distR="114300" simplePos="0" locked="0" layoutInCell="1" allowOverlap="1" relativeHeight="9">
            <wp:simplePos x="0" y="0"/>
            <wp:positionH relativeFrom="column">
              <wp:posOffset>0</wp:posOffset>
            </wp:positionH>
            <wp:positionV relativeFrom="paragraph">
              <wp:posOffset>257175</wp:posOffset>
            </wp:positionV>
            <wp:extent cx="5946140" cy="3745865"/>
            <wp:effectExtent l="0" t="0" r="0" b="0"/>
            <wp:wrapTopAndBottom/>
            <wp:docPr id="5" name="Изображение4" descr="G:\PROJECTS\АРХЫЗ-2\РАБОТА\АИКОМ № 237_Подэтапы 5.2_6.2_7.2\jpg\150326_Страница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4" descr="G:\PROJECTS\АРХЫЗ-2\РАБОТА\АИКОМ № 237_Подэтапы 5.2_6.2_7.2\jpg\150326_Страница_106.jpg"/>
                    <pic:cNvPicPr>
                      <a:picLocks noChangeAspect="1" noChangeArrowheads="1"/>
                    </pic:cNvPicPr>
                  </pic:nvPicPr>
                  <pic:blipFill>
                    <a:blip r:embed="rId69"/>
                    <a:srcRect l="0" t="53162" r="0" b="0"/>
                    <a:stretch>
                      <a:fillRect/>
                    </a:stretch>
                  </pic:blipFill>
                  <pic:spPr bwMode="auto">
                    <a:xfrm>
                      <a:off x="0" y="0"/>
                      <a:ext cx="5946140" cy="3745865"/>
                    </a:xfrm>
                    <a:prstGeom prst="rect">
                      <a:avLst/>
                    </a:prstGeom>
                  </pic:spPr>
                </pic:pic>
              </a:graphicData>
            </a:graphic>
          </wp:anchor>
        </w:drawing>
      </w:r>
      <w:r>
        <w:rPr>
          <w:rFonts w:cs="Times New Roman" w:ascii="Times New Roman" w:hAnsi="Times New Roman"/>
        </w:rPr>
        <w:t>Р</w:t>
      </w:r>
      <w:r>
        <w:rPr>
          <w:rFonts w:cs="Times New Roman" w:ascii="Times New Roman" w:hAnsi="Times New Roman"/>
        </w:rPr>
        <w:t>исунок 5. Колористическое решение туристической деревни Дукка (вариант 2).</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Вариант 3 (теплые контрастные цвета с традиционным орнаментом из дерева)</w:t>
      </w:r>
    </w:p>
    <w:p>
      <w:pPr>
        <w:pStyle w:val="Normal"/>
        <w:ind w:firstLine="567"/>
        <w:jc w:val="both"/>
        <w:rPr/>
      </w:pPr>
      <w:r>
        <w:rPr>
          <w:rFonts w:cs="Times New Roman" w:ascii="Times New Roman" w:hAnsi="Times New Roman"/>
        </w:rPr>
        <w:t>Фасады. Общий принцип цветового контраста реализуется за счет более теплых оттенков -светло-бежевых и темно-рыже-коричневых. В отделке цоколя применяется пиленый или колотый песчаник прямоугольной формы.</w:t>
      </w:r>
    </w:p>
    <w:p>
      <w:pPr>
        <w:pStyle w:val="Normal"/>
        <w:ind w:firstLine="567"/>
        <w:jc w:val="both"/>
        <w:rPr/>
      </w:pPr>
      <w:r>
        <w:rPr>
          <w:rFonts w:cs="Times New Roman" w:ascii="Times New Roman" w:hAnsi="Times New Roman"/>
        </w:rPr>
        <w:t>Кровля. Плоская керамическая черепица темно-серо-коричневого или серо-черного цвета.</w:t>
      </w:r>
    </w:p>
    <w:p>
      <w:pPr>
        <w:pStyle w:val="Normal"/>
        <w:ind w:firstLine="567"/>
        <w:jc w:val="both"/>
        <w:rPr/>
      </w:pPr>
      <w:r>
        <w:rPr>
          <w:rFonts w:cs="Times New Roman" w:ascii="Times New Roman" w:hAnsi="Times New Roman"/>
        </w:rPr>
        <w:t>Палитра акцентов. Деревянные элементы насыщенно-коричневого или медного цвета усиливают общую теплую гамму (не более 20 % от фасада).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b/>
          <w:b/>
        </w:rPr>
      </w:pPr>
      <w:r>
        <w:rPr>
          <w:rFonts w:cs="Times New Roman" w:ascii="Times New Roman" w:hAnsi="Times New Roman"/>
          <w:b/>
        </w:rPr>
      </w:r>
    </w:p>
    <w:p>
      <w:pPr>
        <w:pStyle w:val="Normal"/>
        <w:ind w:firstLine="567"/>
        <w:jc w:val="both"/>
        <w:rPr>
          <w:rFonts w:ascii="Times New Roman" w:hAnsi="Times New Roman" w:cs="Times New Roman"/>
          <w:b/>
          <w:b/>
        </w:rPr>
      </w:pPr>
      <w:r>
        <w:rPr>
          <w:rFonts w:cs="Times New Roman" w:ascii="Times New Roman" w:hAnsi="Times New Roman"/>
          <w:b/>
        </w:rPr>
      </w:r>
    </w:p>
    <w:p>
      <w:pPr>
        <w:pStyle w:val="Normal"/>
        <w:ind w:firstLine="567"/>
        <w:jc w:val="both"/>
        <w:rPr>
          <w:rFonts w:ascii="Times New Roman" w:hAnsi="Times New Roman" w:cs="Times New Roman"/>
          <w:b/>
          <w:b/>
        </w:rPr>
      </w:pPr>
      <w:r>
        <w:rPr>
          <w:rFonts w:cs="Times New Roman" w:ascii="Times New Roman" w:hAnsi="Times New Roman"/>
          <w:b/>
        </w:rPr>
      </w:r>
    </w:p>
    <w:p>
      <w:pPr>
        <w:pStyle w:val="Normal"/>
        <w:ind w:firstLine="567"/>
        <w:jc w:val="both"/>
        <w:rPr>
          <w:rFonts w:ascii="Times New Roman" w:hAnsi="Times New Roman" w:cs="Times New Roman"/>
          <w:b/>
          <w:b/>
        </w:rPr>
      </w:pPr>
      <w:r>
        <w:rPr>
          <w:rFonts w:cs="Times New Roman" w:ascii="Times New Roman" w:hAnsi="Times New Roman"/>
          <w:b/>
        </w:rPr>
      </w:r>
    </w:p>
    <w:p>
      <w:pPr>
        <w:pStyle w:val="Normal"/>
        <w:ind w:firstLine="567"/>
        <w:jc w:val="both"/>
        <w:rPr>
          <w:rFonts w:ascii="Times New Roman" w:hAnsi="Times New Roman" w:cs="Times New Roman"/>
          <w:b/>
          <w:b/>
        </w:rPr>
      </w:pPr>
      <w:r>
        <w:rPr>
          <w:rFonts w:cs="Times New Roman" w:ascii="Times New Roman" w:hAnsi="Times New Roman"/>
          <w:b/>
        </w:rPr>
      </w:r>
    </w:p>
    <w:p>
      <w:pPr>
        <w:pStyle w:val="Normal"/>
        <w:ind w:firstLine="567"/>
        <w:jc w:val="both"/>
        <w:rPr>
          <w:rFonts w:ascii="Times New Roman" w:hAnsi="Times New Roman" w:cs="Times New Roman"/>
          <w:b/>
          <w:b/>
        </w:rPr>
      </w:pPr>
      <w:r>
        <w:rPr>
          <w:rFonts w:cs="Times New Roman" w:ascii="Times New Roman" w:hAnsi="Times New Roman"/>
          <w:b/>
        </w:rPr>
      </w:r>
    </w:p>
    <w:p>
      <w:pPr>
        <w:pStyle w:val="Normal"/>
        <w:ind w:firstLine="567"/>
        <w:jc w:val="both"/>
        <w:rPr>
          <w:rFonts w:ascii="Times New Roman" w:hAnsi="Times New Roman" w:cs="Times New Roman"/>
        </w:rPr>
      </w:pPr>
      <w:r>
        <w:rPr>
          <w:rFonts w:cs="Times New Roman" w:ascii="Times New Roman" w:hAnsi="Times New Roman"/>
        </w:rPr>
        <w:drawing>
          <wp:anchor behindDoc="0" distT="0" distB="0" distL="133350" distR="114300" simplePos="0" locked="0" layoutInCell="1" allowOverlap="1" relativeHeight="10">
            <wp:simplePos x="0" y="0"/>
            <wp:positionH relativeFrom="column">
              <wp:posOffset>0</wp:posOffset>
            </wp:positionH>
            <wp:positionV relativeFrom="paragraph">
              <wp:posOffset>266065</wp:posOffset>
            </wp:positionV>
            <wp:extent cx="5946140" cy="4030345"/>
            <wp:effectExtent l="0" t="0" r="0" b="0"/>
            <wp:wrapTopAndBottom/>
            <wp:docPr id="6" name="Изображение5" descr="G:\PROJECTS\АРХЫЗ-2\РАБОТА\АИКОМ № 237_Подэтапы 5.2_6.2_7.2\jpg\150326_Страница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5" descr="G:\PROJECTS\АРХЫЗ-2\РАБОТА\АИКОМ № 237_Подэтапы 5.2_6.2_7.2\jpg\150326_Страница_107.jpg"/>
                    <pic:cNvPicPr>
                      <a:picLocks noChangeAspect="1" noChangeArrowheads="1"/>
                    </pic:cNvPicPr>
                  </pic:nvPicPr>
                  <pic:blipFill>
                    <a:blip r:embed="rId70"/>
                    <a:stretch>
                      <a:fillRect/>
                    </a:stretch>
                  </pic:blipFill>
                  <pic:spPr bwMode="auto">
                    <a:xfrm>
                      <a:off x="0" y="0"/>
                      <a:ext cx="5946140" cy="4030345"/>
                    </a:xfrm>
                    <a:prstGeom prst="rect">
                      <a:avLst/>
                    </a:prstGeom>
                  </pic:spPr>
                </pic:pic>
              </a:graphicData>
            </a:graphic>
          </wp:anchor>
        </w:drawing>
      </w:r>
    </w:p>
    <w:p>
      <w:pPr>
        <w:pStyle w:val="TableofFigures1"/>
        <w:ind w:firstLine="567"/>
        <w:jc w:val="both"/>
        <w:rPr/>
      </w:pPr>
      <w:r>
        <w:rPr>
          <w:rFonts w:cs="Times New Roman" w:ascii="Times New Roman" w:hAnsi="Times New Roman"/>
        </w:rPr>
        <w:t>Рисунок 6. Колористическое решение туристической деревни Дукка (вариант 3).</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43" w:name="_Toc424230739"/>
      <w:bookmarkEnd w:id="343"/>
      <w:r>
        <w:rPr>
          <w:rFonts w:cs="Times New Roman"/>
        </w:rPr>
        <w:t>Статья 89. Требования к архитектурному стилю туристической деревни Лунная Поляна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Подчеркнуто увеличенные размеры крыш простых форм будут доминировать над всей застройкой и станут запоминающейся отличительной чертой в туристической деревне.</w:t>
      </w:r>
    </w:p>
    <w:p>
      <w:pPr>
        <w:pStyle w:val="Normal"/>
        <w:ind w:firstLine="567"/>
        <w:jc w:val="both"/>
        <w:rPr/>
      </w:pPr>
      <w:r>
        <w:rPr>
          <w:rFonts w:cs="Times New Roman" w:ascii="Times New Roman" w:hAnsi="Times New Roman"/>
        </w:rPr>
        <w:t>Рекомендуется добавить значительное количество декоративных, привлекающих внимание деталей.</w:t>
      </w:r>
    </w:p>
    <w:p>
      <w:pPr>
        <w:pStyle w:val="Normal"/>
        <w:ind w:firstLine="567"/>
        <w:jc w:val="both"/>
        <w:rPr/>
      </w:pPr>
      <w:r>
        <w:rPr>
          <w:rFonts w:cs="Times New Roman" w:ascii="Times New Roman" w:hAnsi="Times New Roman"/>
        </w:rPr>
        <w:t>2. Здания большого размера следует разбивать с помощью компоновки кровельных компонентов, которые визуально образуют сложный разноуклонный и разноуровневый характер здания. Объемы зданий могут состоять из нескольких форм, напоминающих отдельные дома, связанные единым блоком коридора или холла.</w:t>
      </w:r>
    </w:p>
    <w:p>
      <w:pPr>
        <w:pStyle w:val="Normal"/>
        <w:ind w:firstLine="567"/>
        <w:jc w:val="both"/>
        <w:rPr/>
      </w:pPr>
      <w:r>
        <w:rPr>
          <w:rFonts w:cs="Times New Roman" w:ascii="Times New Roman" w:hAnsi="Times New Roman"/>
        </w:rPr>
        <w:t>3. Крыши гостиниц рекомендуется делать двускатными, при этом прямые линии можно разбивать на сегменты с помощью более мелких кровельных элементов. Кровля может быть как симметричной, так и абсолютно несимметричной с одним выдающимся фронтоном.</w:t>
      </w:r>
    </w:p>
    <w:p>
      <w:pPr>
        <w:pStyle w:val="Normal"/>
        <w:ind w:firstLine="567"/>
        <w:jc w:val="both"/>
        <w:rPr/>
      </w:pPr>
      <w:r>
        <w:rPr>
          <w:rFonts w:cs="Times New Roman" w:ascii="Times New Roman" w:hAnsi="Times New Roman"/>
        </w:rPr>
        <w:t>4. В гостиницах категории 3 и 4 звезды используется больше элементов мансардных и четырехскатных крыш, при этом основная четырехскатная кровля со слуховым окном должна возвышаться над остальными элементами крыши.</w:t>
      </w:r>
    </w:p>
    <w:p>
      <w:pPr>
        <w:pStyle w:val="Normal"/>
        <w:ind w:firstLine="567"/>
        <w:jc w:val="both"/>
        <w:rPr/>
      </w:pPr>
      <w:r>
        <w:rPr>
          <w:rFonts w:cs="Times New Roman" w:ascii="Times New Roman" w:hAnsi="Times New Roman"/>
        </w:rPr>
        <w:t>5. Общие пропорции зданий должны скорее подчеркивать вертикаль, а не горизонталь. Проектирование более высоких структурных элементов потребует анализа углов обзора для прилегающих территорий и зданий.</w:t>
      </w:r>
    </w:p>
    <w:p>
      <w:pPr>
        <w:pStyle w:val="Normal"/>
        <w:ind w:firstLine="567"/>
        <w:jc w:val="both"/>
        <w:rPr/>
      </w:pPr>
      <w:r>
        <w:rPr>
          <w:rFonts w:cs="Times New Roman" w:ascii="Times New Roman" w:hAnsi="Times New Roman"/>
        </w:rPr>
        <w:t>6. Здания апартаментов должны располагаться уступами с учетом рельефа, образуя террасированную застройку.</w:t>
      </w:r>
    </w:p>
    <w:p>
      <w:pPr>
        <w:pStyle w:val="Normal"/>
        <w:ind w:firstLine="567"/>
        <w:jc w:val="both"/>
        <w:rPr/>
      </w:pPr>
      <w:r>
        <w:rPr>
          <w:rFonts w:cs="Times New Roman" w:ascii="Times New Roman" w:hAnsi="Times New Roman"/>
        </w:rPr>
        <w:t>7. Основная особенность архитектурной отделки туристической деревни Лунная Поляна - использование большого количества разного вида деревянных элементов (см. Рисунки 7-9).</w:t>
      </w:r>
    </w:p>
    <w:p>
      <w:pPr>
        <w:pStyle w:val="Normal"/>
        <w:ind w:firstLine="567"/>
        <w:jc w:val="both"/>
        <w:rPr/>
      </w:pPr>
      <w:r>
        <w:rPr>
          <w:rFonts w:cs="Times New Roman" w:ascii="Times New Roman" w:hAnsi="Times New Roman"/>
        </w:rPr>
        <w:t>Вариант 1 (натуральные цвета, теплые оттенки)</w:t>
      </w:r>
    </w:p>
    <w:p>
      <w:pPr>
        <w:pStyle w:val="Normal"/>
        <w:ind w:firstLine="567"/>
        <w:jc w:val="both"/>
        <w:rPr/>
      </w:pPr>
      <w:r>
        <w:rPr>
          <w:rFonts w:cs="Times New Roman" w:ascii="Times New Roman" w:hAnsi="Times New Roman"/>
        </w:rPr>
        <w:t>Фасады. Активное применение деревянных панелей натурального цвета с защищающим от внешних воздействий покрытием и небольшие площади отделочной штукатурки цвета охры формируют облик фасадов зданий.</w:t>
      </w:r>
    </w:p>
    <w:p>
      <w:pPr>
        <w:pStyle w:val="Normal"/>
        <w:ind w:firstLine="567"/>
        <w:jc w:val="both"/>
        <w:rPr/>
      </w:pPr>
      <w:r>
        <w:rPr>
          <w:rFonts w:cs="Times New Roman" w:ascii="Times New Roman" w:hAnsi="Times New Roman"/>
        </w:rPr>
        <w:t>Кровля. Натуральная огнеупорная черепица неоднородного тона коричневатых оттенков на скатной кровле с широкими свесами.</w:t>
      </w:r>
    </w:p>
    <w:p>
      <w:pPr>
        <w:pStyle w:val="Normal"/>
        <w:ind w:firstLine="567"/>
        <w:jc w:val="both"/>
        <w:rPr/>
      </w:pPr>
      <w:r>
        <w:drawing>
          <wp:anchor behindDoc="0" distT="0" distB="0" distL="114300" distR="114300" simplePos="0" locked="0" layoutInCell="1" allowOverlap="1" relativeHeight="11">
            <wp:simplePos x="0" y="0"/>
            <wp:positionH relativeFrom="column">
              <wp:posOffset>15240</wp:posOffset>
            </wp:positionH>
            <wp:positionV relativeFrom="paragraph">
              <wp:posOffset>528955</wp:posOffset>
            </wp:positionV>
            <wp:extent cx="5589270" cy="3603625"/>
            <wp:effectExtent l="0" t="0" r="0" b="0"/>
            <wp:wrapTopAndBottom/>
            <wp:docPr id="7" name="Изображение6" descr="G:\PROJECTS\АРХЫЗ-2\РАБОТА\АИКОМ № 237_Подэтапы 5.2_6.2_7.2\jpg\150326_Страница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6" descr="G:\PROJECTS\АРХЫЗ-2\РАБОТА\АИКОМ № 237_Подэтапы 5.2_6.2_7.2\jpg\150326_Страница_078.jpg"/>
                    <pic:cNvPicPr>
                      <a:picLocks noChangeAspect="1" noChangeArrowheads="1"/>
                    </pic:cNvPicPr>
                  </pic:nvPicPr>
                  <pic:blipFill>
                    <a:blip r:embed="rId71"/>
                    <a:srcRect l="0" t="1616" r="0" b="51828"/>
                    <a:stretch>
                      <a:fillRect/>
                    </a:stretch>
                  </pic:blipFill>
                  <pic:spPr bwMode="auto">
                    <a:xfrm>
                      <a:off x="0" y="0"/>
                      <a:ext cx="5589270" cy="3603625"/>
                    </a:xfrm>
                    <a:prstGeom prst="rect">
                      <a:avLst/>
                    </a:prstGeom>
                  </pic:spPr>
                </pic:pic>
              </a:graphicData>
            </a:graphic>
          </wp:anchor>
        </w:drawing>
      </w:r>
      <w:r>
        <w:rPr>
          <w:rFonts w:cs="Times New Roman" w:ascii="Times New Roman" w:hAnsi="Times New Roman"/>
        </w:rPr>
        <w:t>П</w:t>
      </w:r>
      <w:r>
        <w:rPr>
          <w:rFonts w:cs="Times New Roman" w:ascii="Times New Roman" w:hAnsi="Times New Roman"/>
        </w:rPr>
        <w:t>алитра акцентов. Применения бревенчатых спилов плотно скомпанованных друг с другом и покрытых защитными составами.</w:t>
      </w:r>
    </w:p>
    <w:p>
      <w:pPr>
        <w:pStyle w:val="TableofFigures1"/>
        <w:ind w:firstLine="567"/>
        <w:jc w:val="both"/>
        <w:rPr/>
      </w:pPr>
      <w:r>
        <w:rPr>
          <w:rFonts w:cs="Times New Roman" w:ascii="Times New Roman" w:hAnsi="Times New Roman"/>
        </w:rPr>
        <w:t>Рисунок 7. Колористическое решение туристической деревни Лунная Поляна (вариант 1).</w:t>
      </w:r>
    </w:p>
    <w:p>
      <w:pPr>
        <w:pStyle w:val="Normal"/>
        <w:ind w:firstLine="567"/>
        <w:jc w:val="both"/>
        <w:rPr/>
      </w:pPr>
      <w:r>
        <w:rPr>
          <w:rFonts w:cs="Times New Roman" w:ascii="Times New Roman" w:hAnsi="Times New Roman"/>
        </w:rPr>
        <w:t>Вариант 2 (натуральные цвета, контрастные акценты)</w:t>
      </w:r>
    </w:p>
    <w:p>
      <w:pPr>
        <w:pStyle w:val="Normal"/>
        <w:ind w:firstLine="567"/>
        <w:jc w:val="both"/>
        <w:rPr/>
      </w:pPr>
      <w:r>
        <w:rPr>
          <w:rFonts w:cs="Times New Roman" w:ascii="Times New Roman" w:hAnsi="Times New Roman"/>
        </w:rPr>
        <w:t>Фасады. Придание эко-направленности в отделке фасадов происходит за счет использования теплых оттенков и натуральных материалов, таких как оцилиндрованный брус, фактурная штукатурка, окрашенная в нейтральный цвет серого камня или цвет темного дерева.</w:t>
      </w:r>
    </w:p>
    <w:p>
      <w:pPr>
        <w:pStyle w:val="Normal"/>
        <w:ind w:firstLine="567"/>
        <w:jc w:val="both"/>
        <w:rPr/>
      </w:pPr>
      <w:r>
        <w:rPr>
          <w:rFonts w:cs="Times New Roman" w:ascii="Times New Roman" w:hAnsi="Times New Roman"/>
        </w:rPr>
        <w:t>Кровля. Деревянная кровля в виде «гонт» на скатной кровле будет смотреться одновременно традиционно, подражая деревенскому типу, а также современно.</w:t>
      </w:r>
    </w:p>
    <w:p>
      <w:pPr>
        <w:pStyle w:val="Normal"/>
        <w:ind w:firstLine="567"/>
        <w:jc w:val="both"/>
        <w:rPr/>
      </w:pPr>
      <w:r>
        <w:rPr>
          <w:rFonts w:cs="Times New Roman" w:ascii="Times New Roman" w:hAnsi="Times New Roman"/>
        </w:rPr>
        <w:t>Палитра акцентов. Дли придания большей эко- и деревенской атмосферы в качестве акцента выделяются части стен фасада, например, цоколя или главного эркера, сделанные методом «кордвуд» - небольшие брусья, укрепленные цементным или глиняным раствором.</w:t>
      </w:r>
    </w:p>
    <w:p>
      <w:pPr>
        <w:pStyle w:val="Normal"/>
        <w:ind w:firstLine="567"/>
        <w:jc w:val="both"/>
        <w:rPr>
          <w:rFonts w:ascii="Times New Roman" w:hAnsi="Times New Roman" w:cs="Times New Roman"/>
        </w:rPr>
      </w:pPr>
      <w:r>
        <w:rPr>
          <w:rFonts w:cs="Times New Roman" w:ascii="Times New Roman" w:hAnsi="Times New Roman"/>
        </w:rPr>
        <w:drawing>
          <wp:anchor behindDoc="0" distT="0" distB="6985" distL="114300" distR="114300" simplePos="0" locked="0" layoutInCell="1" allowOverlap="1" relativeHeight="12">
            <wp:simplePos x="0" y="0"/>
            <wp:positionH relativeFrom="column">
              <wp:posOffset>-61595</wp:posOffset>
            </wp:positionH>
            <wp:positionV relativeFrom="paragraph">
              <wp:posOffset>178435</wp:posOffset>
            </wp:positionV>
            <wp:extent cx="5946140" cy="3879215"/>
            <wp:effectExtent l="0" t="0" r="0" b="0"/>
            <wp:wrapTopAndBottom/>
            <wp:docPr id="8" name="Изображение7" descr="G:\PROJECTS\АРХЫЗ-2\РАБОТА\АИКОМ № 237_Подэтапы 5.2_6.2_7.2\jpg\150326_Страница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7" descr="G:\PROJECTS\АРХЫЗ-2\РАБОТА\АИКОМ № 237_Подэтапы 5.2_6.2_7.2\jpg\150326_Страница_078.jpg"/>
                    <pic:cNvPicPr>
                      <a:picLocks noChangeAspect="1" noChangeArrowheads="1"/>
                    </pic:cNvPicPr>
                  </pic:nvPicPr>
                  <pic:blipFill>
                    <a:blip r:embed="rId72"/>
                    <a:srcRect l="0" t="51723" r="0" b="1188"/>
                    <a:stretch>
                      <a:fillRect/>
                    </a:stretch>
                  </pic:blipFill>
                  <pic:spPr bwMode="auto">
                    <a:xfrm>
                      <a:off x="0" y="0"/>
                      <a:ext cx="5946140" cy="3879215"/>
                    </a:xfrm>
                    <a:prstGeom prst="rect">
                      <a:avLst/>
                    </a:prstGeom>
                  </pic:spPr>
                </pic:pic>
              </a:graphicData>
            </a:graphic>
          </wp:anchor>
        </w:drawing>
      </w:r>
    </w:p>
    <w:p>
      <w:pPr>
        <w:pStyle w:val="TableofFigures1"/>
        <w:spacing w:lineRule="auto" w:line="240"/>
        <w:ind w:firstLine="567"/>
        <w:jc w:val="both"/>
        <w:rPr/>
      </w:pPr>
      <w:r>
        <w:rPr>
          <w:rFonts w:cs="Times New Roman" w:ascii="Times New Roman" w:hAnsi="Times New Roman"/>
        </w:rPr>
        <w:t>Рисунок 8. Колористическое решение туристической деревни Лунная Поляна (вариант 2).</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Вариант 3 (натуральные цвета, серые оттенки)</w:t>
      </w:r>
    </w:p>
    <w:p>
      <w:pPr>
        <w:pStyle w:val="Normal"/>
        <w:ind w:firstLine="567"/>
        <w:jc w:val="both"/>
        <w:rPr/>
      </w:pPr>
      <w:r>
        <w:rPr>
          <w:rFonts w:cs="Times New Roman" w:ascii="Times New Roman" w:hAnsi="Times New Roman"/>
        </w:rPr>
        <w:t>Фасады. Светло-серый фактурный камень, штукатурка и деревянные панели нейтральных тонов. Прообразом архитектуры принимается дом типа «шале».</w:t>
      </w:r>
    </w:p>
    <w:p>
      <w:pPr>
        <w:pStyle w:val="Normal"/>
        <w:ind w:firstLine="567"/>
        <w:jc w:val="both"/>
        <w:rPr/>
      </w:pPr>
      <w:r>
        <w:rPr>
          <w:rFonts w:cs="Times New Roman" w:ascii="Times New Roman" w:hAnsi="Times New Roman"/>
        </w:rPr>
        <w:t>Кровля. Огнеупорная черепица или терракота коричневого оттенка.</w:t>
      </w:r>
    </w:p>
    <w:p>
      <w:pPr>
        <w:pStyle w:val="Normal"/>
        <w:ind w:firstLine="567"/>
        <w:jc w:val="both"/>
        <w:rPr/>
      </w:pPr>
      <w:r>
        <w:rPr>
          <w:rFonts w:cs="Times New Roman" w:ascii="Times New Roman" w:hAnsi="Times New Roman"/>
        </w:rPr>
        <w:t>Палитра акцентов. Роль акцентов может выполнять цоколь или его части, выполненные в виде «кордвуд», имитируя каменную кладку.</w:t>
      </w:r>
    </w:p>
    <w:p>
      <w:pPr>
        <w:pStyle w:val="Normal"/>
        <w:ind w:firstLine="567"/>
        <w:jc w:val="both"/>
        <w:rPr>
          <w:rFonts w:ascii="Times New Roman" w:hAnsi="Times New Roman" w:cs="Times New Roman"/>
        </w:rPr>
      </w:pPr>
      <w:r>
        <w:rPr>
          <w:rFonts w:cs="Times New Roman" w:ascii="Times New Roman" w:hAnsi="Times New Roman"/>
        </w:rPr>
        <w:drawing>
          <wp:anchor behindDoc="0" distT="0" distB="2540" distL="114300" distR="114300" simplePos="0" locked="0" layoutInCell="1" allowOverlap="1" relativeHeight="5">
            <wp:simplePos x="0" y="0"/>
            <wp:positionH relativeFrom="column">
              <wp:posOffset>-113665</wp:posOffset>
            </wp:positionH>
            <wp:positionV relativeFrom="paragraph">
              <wp:posOffset>243205</wp:posOffset>
            </wp:positionV>
            <wp:extent cx="5946140" cy="4207510"/>
            <wp:effectExtent l="0" t="0" r="0" b="0"/>
            <wp:wrapTopAndBottom/>
            <wp:docPr id="9" name="Изображение8" descr="G:\PROJECTS\АРХЫЗ-2\РАБОТА\АИКОМ № 237_Подэтапы 5.2_6.2_7.2\jpg\150326_Страница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8" descr="G:\PROJECTS\АРХЫЗ-2\РАБОТА\АИКОМ № 237_Подэтапы 5.2_6.2_7.2\jpg\150326_Страница_079.jpg"/>
                    <pic:cNvPicPr>
                      <a:picLocks noChangeAspect="1" noChangeArrowheads="1"/>
                    </pic:cNvPicPr>
                  </pic:nvPicPr>
                  <pic:blipFill>
                    <a:blip r:embed="rId73"/>
                    <a:stretch>
                      <a:fillRect/>
                    </a:stretch>
                  </pic:blipFill>
                  <pic:spPr bwMode="auto">
                    <a:xfrm>
                      <a:off x="0" y="0"/>
                      <a:ext cx="5946140" cy="4207510"/>
                    </a:xfrm>
                    <a:prstGeom prst="rect">
                      <a:avLst/>
                    </a:prstGeom>
                  </pic:spPr>
                </pic:pic>
              </a:graphicData>
            </a:graphic>
          </wp:anchor>
        </w:drawing>
      </w:r>
    </w:p>
    <w:p>
      <w:pPr>
        <w:pStyle w:val="TableofFigures1"/>
        <w:ind w:firstLine="567"/>
        <w:jc w:val="both"/>
        <w:rPr/>
      </w:pPr>
      <w:r>
        <w:rPr>
          <w:rFonts w:cs="Times New Roman" w:ascii="Times New Roman" w:hAnsi="Times New Roman"/>
        </w:rPr>
        <w:t>Рисунок 9. Колористическое решение туристической деревни Лунная Поляна (вариант 3).</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44" w:name="_Toc424230740"/>
      <w:bookmarkEnd w:id="344"/>
      <w:r>
        <w:rPr>
          <w:rFonts w:cs="Times New Roman"/>
        </w:rPr>
        <w:t>Статья 90. Требования к архитектурному стилю туристической деревни Дукка -2000</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Туристическая деревня Дукка-2000 станет более эксклюзивным вариантом основной туристической деревни Дукка. В плане оформления туристическую деревню Дукка-2000 многое объединяет с главной туристической деревней Дукка для поддержания их стилистического единства.</w:t>
      </w:r>
    </w:p>
    <w:p>
      <w:pPr>
        <w:pStyle w:val="Normal"/>
        <w:ind w:firstLine="567"/>
        <w:jc w:val="both"/>
        <w:rPr/>
      </w:pPr>
      <w:r>
        <w:rPr>
          <w:rFonts w:cs="Times New Roman" w:ascii="Times New Roman" w:hAnsi="Times New Roman"/>
        </w:rPr>
        <w:t>Очертания и формы - более четкие очертания кровель с меньшим разбросом по высоте.</w:t>
      </w:r>
    </w:p>
    <w:p>
      <w:pPr>
        <w:pStyle w:val="Normal"/>
        <w:ind w:firstLine="567"/>
        <w:jc w:val="both"/>
        <w:rPr/>
      </w:pPr>
      <w:r>
        <w:rPr>
          <w:rFonts w:cs="Times New Roman" w:ascii="Times New Roman" w:hAnsi="Times New Roman"/>
        </w:rPr>
        <w:t>Уклон кровли - 15-20 %, широкие выступы, позволяющие избежать необходимости создания колоннад в нишах на первых этажах.</w:t>
      </w:r>
    </w:p>
    <w:p>
      <w:pPr>
        <w:pStyle w:val="Normal"/>
        <w:ind w:firstLine="567"/>
        <w:jc w:val="both"/>
        <w:rPr/>
      </w:pPr>
      <w:r>
        <w:rPr>
          <w:rFonts w:cs="Times New Roman" w:ascii="Times New Roman" w:hAnsi="Times New Roman"/>
        </w:rPr>
        <w:t>2. Компоновка архитектурных масс - неравномерная компоновка архитектурных масс, соответствующая рельефу и расположению склонов. Четкая горизонтальная композиция в пределах всей туристической деревни, которую подчеркивают свесы кровли и прямые террасы. Ступенчатое расположение зданий в соответствии с рельефом.</w:t>
      </w:r>
    </w:p>
    <w:p>
      <w:pPr>
        <w:pStyle w:val="Normal"/>
        <w:ind w:firstLine="567"/>
        <w:jc w:val="both"/>
        <w:rPr/>
      </w:pPr>
      <w:r>
        <w:rPr>
          <w:rFonts w:cs="Times New Roman" w:ascii="Times New Roman" w:hAnsi="Times New Roman"/>
        </w:rPr>
        <w:t xml:space="preserve">Отделка и детали - рекомендуется декоративная отделка и материалы с визуально различимой текстурой. </w:t>
      </w:r>
    </w:p>
    <w:p>
      <w:pPr>
        <w:pStyle w:val="Normal"/>
        <w:ind w:firstLine="567"/>
        <w:jc w:val="both"/>
        <w:rPr/>
      </w:pPr>
      <w:r>
        <w:rPr>
          <w:rFonts w:cs="Times New Roman" w:ascii="Times New Roman" w:hAnsi="Times New Roman"/>
        </w:rPr>
        <w:t>Верхний этаж - отделка соответствует отделке средних этажей из-за малой этажности зданий.</w:t>
      </w:r>
    </w:p>
    <w:p>
      <w:pPr>
        <w:pStyle w:val="Normal"/>
        <w:ind w:firstLine="567"/>
        <w:jc w:val="both"/>
        <w:rPr/>
      </w:pPr>
      <w:r>
        <w:rPr>
          <w:rFonts w:cs="Times New Roman" w:ascii="Times New Roman" w:hAnsi="Times New Roman"/>
        </w:rPr>
        <w:t>Средние этажи - различные варианты использования материалов, расположения окон и террас на фасадах. Нижний этаж - под большой кровлей с выступами.</w:t>
      </w:r>
    </w:p>
    <w:p>
      <w:pPr>
        <w:pStyle w:val="Normal"/>
        <w:ind w:firstLine="567"/>
        <w:jc w:val="both"/>
        <w:rPr/>
      </w:pPr>
      <w:r>
        <w:rPr>
          <w:rFonts w:cs="Times New Roman" w:ascii="Times New Roman" w:hAnsi="Times New Roman"/>
        </w:rPr>
        <w:t>Неоднородная линия фасада с окнами в нишах. Многоэтажное здание с более “тяжелым” каменным основанием и “легким” фасадом на верхнем уровне - штукатурка или яркие навесные панели.</w:t>
      </w:r>
    </w:p>
    <w:p>
      <w:pPr>
        <w:pStyle w:val="Normal"/>
        <w:ind w:firstLine="567"/>
        <w:jc w:val="both"/>
        <w:rPr/>
      </w:pPr>
      <w:r>
        <w:rPr>
          <w:rFonts w:cs="Times New Roman" w:ascii="Times New Roman" w:hAnsi="Times New Roman"/>
        </w:rPr>
        <w:t>3. В гостинице категории 5 звезд предусматривается использование массивных деревянных элементов. Предполагается, что кровля будет состоять из несколько скатных крыш, которые сделают внешний вид гостиницы более интересным. Кровля может быть как симметричной, так и абсолютно несимметричной с одним выдающимся фронтоном.</w:t>
      </w:r>
    </w:p>
    <w:p>
      <w:pPr>
        <w:pStyle w:val="Normal"/>
        <w:ind w:firstLine="567"/>
        <w:jc w:val="both"/>
        <w:rPr/>
      </w:pPr>
      <w:r>
        <w:rPr>
          <w:rFonts w:cs="Times New Roman" w:ascii="Times New Roman" w:hAnsi="Times New Roman"/>
        </w:rPr>
        <w:t>Крыша гостиницы категории 5 звезд включает такие элементы, как фронтоны и слуховые окна. При этом компоновка здания должна быть более горизонтальной, чем в гостиницах категорий 3 и 4 звезды. Предполагается использование горизонтальных полос из различных отделочных материалов (преимущественно - древесины и черепицы). На нижнем уровне необходимо предусмотреть горизонтальную террасу или веранду, чтобы подчеркнуть горизонтальную форму здания и обеспечить защиту от снега.</w:t>
      </w:r>
    </w:p>
    <w:p>
      <w:pPr>
        <w:pStyle w:val="Normal"/>
        <w:ind w:firstLine="567"/>
        <w:jc w:val="both"/>
        <w:rPr/>
      </w:pPr>
      <w:r>
        <w:rPr>
          <w:rFonts w:cs="Times New Roman" w:ascii="Times New Roman" w:hAnsi="Times New Roman"/>
        </w:rPr>
        <w:t>4. Коттеджи должны соответствовать архитектурной концепции ВТРК "Архыз".</w:t>
      </w:r>
    </w:p>
    <w:p>
      <w:pPr>
        <w:pStyle w:val="Normal"/>
        <w:ind w:firstLine="567"/>
        <w:jc w:val="both"/>
        <w:rPr/>
      </w:pPr>
      <w:r>
        <w:rPr>
          <w:rFonts w:cs="Times New Roman" w:ascii="Times New Roman" w:hAnsi="Times New Roman"/>
        </w:rPr>
        <w:t>Варианты отделки могут быть выбраны из большого количества материалов, среди которых - натуральная древесина и камни, добываемые в данном регионе.</w:t>
      </w:r>
    </w:p>
    <w:p>
      <w:pPr>
        <w:pStyle w:val="Normal"/>
        <w:ind w:firstLine="567"/>
        <w:jc w:val="both"/>
        <w:rPr/>
      </w:pPr>
      <w:r>
        <w:rPr>
          <w:rFonts w:cs="Times New Roman" w:ascii="Times New Roman" w:hAnsi="Times New Roman"/>
        </w:rPr>
        <w:t>5. Туристическая деревня Дукка-2000 позиционируется как эксклюзивное место для отдыха, оформление коттеджей также должно быть более роскошным. Этого можно добиться за счет использования горизонтальной компоновки зданий и использования чуть более плоских кровель.</w:t>
      </w:r>
    </w:p>
    <w:p>
      <w:pPr>
        <w:pStyle w:val="Normal"/>
        <w:ind w:firstLine="567"/>
        <w:jc w:val="both"/>
        <w:rPr/>
      </w:pPr>
      <w:r>
        <w:rPr>
          <w:rFonts w:cs="Times New Roman" w:ascii="Times New Roman" w:hAnsi="Times New Roman"/>
        </w:rPr>
        <w:t>6. Многие дома должны иметь сложную форму фасада с лоджиями:</w:t>
      </w:r>
    </w:p>
    <w:p>
      <w:pPr>
        <w:pStyle w:val="Normal"/>
        <w:ind w:firstLine="567"/>
        <w:jc w:val="both"/>
        <w:rPr/>
      </w:pPr>
      <w:r>
        <w:rPr>
          <w:rFonts w:cs="Times New Roman" w:ascii="Times New Roman" w:hAnsi="Times New Roman"/>
        </w:rPr>
        <w:t xml:space="preserve">• </w:t>
      </w:r>
      <w:r>
        <w:rPr>
          <w:rFonts w:cs="Times New Roman" w:ascii="Times New Roman" w:hAnsi="Times New Roman"/>
        </w:rPr>
        <w:t>все здания имеют террасированную форму, создавая сложный и затейливый орнамент фасадов, перекликающийся по стилю с туристической деревней Дукка, но в меньших масштабах;</w:t>
      </w:r>
    </w:p>
    <w:p>
      <w:pPr>
        <w:pStyle w:val="Normal"/>
        <w:ind w:firstLine="567"/>
        <w:jc w:val="both"/>
        <w:rPr/>
      </w:pPr>
      <w:r>
        <w:rPr>
          <w:rFonts w:cs="Times New Roman" w:ascii="Times New Roman" w:hAnsi="Times New Roman"/>
        </w:rPr>
        <w:t xml:space="preserve">• </w:t>
      </w:r>
      <w:r>
        <w:rPr>
          <w:rFonts w:cs="Times New Roman" w:ascii="Times New Roman" w:hAnsi="Times New Roman"/>
        </w:rPr>
        <w:t>необходимо подчеркнуть эксклюзивность места, что достигается с помощью значительного количества декоративных элементов, сложности архитектурных форм и использования более дорогих материалов.</w:t>
      </w:r>
    </w:p>
    <w:p>
      <w:pPr>
        <w:pStyle w:val="Normal"/>
        <w:ind w:firstLine="567"/>
        <w:jc w:val="both"/>
        <w:rPr/>
      </w:pPr>
      <w:r>
        <w:rPr>
          <w:rFonts w:cs="Times New Roman" w:ascii="Times New Roman" w:hAnsi="Times New Roman"/>
        </w:rPr>
        <w:t>7. Для туристической деревни Дукка-2000 выбрана богатая палитра отделочных материалов, с одной стороны, перекликающаяся с контрастным цветовым решением туристической деревни Дукка, с другой - подчеркивающая ее эксклюзивность и современность.</w:t>
      </w:r>
    </w:p>
    <w:p>
      <w:pPr>
        <w:pStyle w:val="Normal"/>
        <w:ind w:firstLine="567"/>
        <w:jc w:val="both"/>
        <w:rPr/>
      </w:pPr>
      <w:r>
        <w:rPr>
          <w:rFonts w:cs="Times New Roman" w:ascii="Times New Roman" w:hAnsi="Times New Roman"/>
        </w:rPr>
        <w:t>В качестве основного материала отделки фасадов используется древесина с антисептическим покрытием и натуральный камень. Также рекомендуется использование местного камня в отделке цоколя для формирования единого стиля туристической деревни. Преимущественное использование более темных цветов в сочетании с акцентными элементами декора с традиционными орнаментами. Материал кровли - сланцевая или медная черепица, использующаяся в этой туристической деревне в качестве объединяющего элемента.</w:t>
      </w:r>
    </w:p>
    <w:p>
      <w:pPr>
        <w:pStyle w:val="Normal"/>
        <w:ind w:firstLine="567"/>
        <w:jc w:val="both"/>
        <w:rPr/>
      </w:pPr>
      <w:r>
        <w:rPr>
          <w:rFonts w:cs="Times New Roman" w:ascii="Times New Roman" w:hAnsi="Times New Roman"/>
        </w:rPr>
        <w:t>Все варианты объединяет использование меди для подчеркивания эксклюзивности туристической деревни Дукка-2000. Рекомендуется использование меди в таких элементах, как оконные откосы, водостоки и трубы, ограждения, а также в декоре. (см. Рисунки 10-12).</w:t>
      </w:r>
    </w:p>
    <w:p>
      <w:pPr>
        <w:pStyle w:val="Normal"/>
        <w:ind w:firstLine="567"/>
        <w:jc w:val="both"/>
        <w:rPr/>
      </w:pPr>
      <w:r>
        <w:rPr>
          <w:rFonts w:cs="Times New Roman" w:ascii="Times New Roman" w:hAnsi="Times New Roman"/>
        </w:rPr>
        <w:t>Вариант 1 (контрастные цвета с красным акцентом)</w:t>
      </w:r>
    </w:p>
    <w:p>
      <w:pPr>
        <w:pStyle w:val="Normal"/>
        <w:ind w:firstLine="567"/>
        <w:jc w:val="both"/>
        <w:rPr/>
      </w:pPr>
      <w:r>
        <w:rPr>
          <w:rFonts w:cs="Times New Roman" w:ascii="Times New Roman" w:hAnsi="Times New Roman"/>
        </w:rPr>
        <w:t>Контрастные цвета с красным акцентом (RAL8012) в качестве материалов отделки фасадов используется контрастное сочетание серой гранитной плитки с черным деревом.</w:t>
      </w:r>
    </w:p>
    <w:p>
      <w:pPr>
        <w:pStyle w:val="Normal"/>
        <w:ind w:firstLine="567"/>
        <w:jc w:val="both"/>
        <w:rPr/>
      </w:pPr>
      <w:r>
        <w:rPr>
          <w:rFonts w:cs="Times New Roman" w:ascii="Times New Roman" w:hAnsi="Times New Roman"/>
        </w:rPr>
        <w:t>В качестве материала для кровли - медная черепица.</w:t>
      </w:r>
    </w:p>
    <w:p>
      <w:pPr>
        <w:pStyle w:val="Normal"/>
        <w:ind w:firstLine="567"/>
        <w:jc w:val="both"/>
        <w:rPr/>
      </w:pPr>
      <w:r>
        <w:rPr>
          <w:rFonts w:cs="Times New Roman" w:ascii="Times New Roman" w:hAnsi="Times New Roman"/>
        </w:rPr>
        <w:t>Декоративные панели и элементы - медь.</w:t>
      </w:r>
    </w:p>
    <w:p>
      <w:pPr>
        <w:pStyle w:val="Normal"/>
        <w:ind w:firstLine="567"/>
        <w:jc w:val="both"/>
        <w:rPr/>
      </w:pPr>
      <w:r>
        <w:rPr>
          <w:rFonts w:cs="Times New Roman" w:ascii="Times New Roman" w:hAnsi="Times New Roman"/>
        </w:rPr>
        <w:t>Допускается использование акцентного цвета RAL8012 для таких элементов, как, например, маркизы).</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TableofFigures1"/>
        <w:ind w:firstLine="567"/>
        <w:jc w:val="both"/>
        <w:rPr/>
      </w:pPr>
      <w:r>
        <w:drawing>
          <wp:anchor behindDoc="0" distT="0" distB="0" distL="114300" distR="114300" simplePos="0" locked="0" layoutInCell="1" allowOverlap="1" relativeHeight="6">
            <wp:simplePos x="0" y="0"/>
            <wp:positionH relativeFrom="column">
              <wp:posOffset>21590</wp:posOffset>
            </wp:positionH>
            <wp:positionV relativeFrom="paragraph">
              <wp:posOffset>35560</wp:posOffset>
            </wp:positionV>
            <wp:extent cx="5875655" cy="4180840"/>
            <wp:effectExtent l="0" t="0" r="0" b="0"/>
            <wp:wrapTopAndBottom/>
            <wp:docPr id="10" name="Изображение9" descr="G:\PROJECTS\АРХЫЗ-2\РАБОТА\АИКОМ № 237_Подэтапы 5.2_6.2_7.2\jpg\150326_Страница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9" descr="G:\PROJECTS\АРХЫЗ-2\РАБОТА\АИКОМ № 237_Подэтапы 5.2_6.2_7.2\jpg\150326_Страница_136.jpg"/>
                    <pic:cNvPicPr>
                      <a:picLocks noChangeAspect="1" noChangeArrowheads="1"/>
                    </pic:cNvPicPr>
                  </pic:nvPicPr>
                  <pic:blipFill>
                    <a:blip r:embed="rId74"/>
                    <a:srcRect l="0" t="0" r="0" b="50233"/>
                    <a:stretch>
                      <a:fillRect/>
                    </a:stretch>
                  </pic:blipFill>
                  <pic:spPr bwMode="auto">
                    <a:xfrm>
                      <a:off x="0" y="0"/>
                      <a:ext cx="5875655" cy="4180840"/>
                    </a:xfrm>
                    <a:prstGeom prst="rect">
                      <a:avLst/>
                    </a:prstGeom>
                  </pic:spPr>
                </pic:pic>
              </a:graphicData>
            </a:graphic>
          </wp:anchor>
        </w:drawing>
      </w:r>
      <w:r>
        <w:rPr>
          <w:rFonts w:cs="Times New Roman" w:ascii="Times New Roman" w:hAnsi="Times New Roman"/>
        </w:rPr>
        <w:t>Р</w:t>
      </w:r>
      <w:r>
        <w:rPr>
          <w:rFonts w:cs="Times New Roman" w:ascii="Times New Roman" w:hAnsi="Times New Roman"/>
        </w:rPr>
        <w:t>исунок 10. Колористическое решение туристической деревни Дукка-2000 (вариант 1).</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Вариант 2 (светлые цвета с рыжим акцентом)</w:t>
      </w:r>
    </w:p>
    <w:p>
      <w:pPr>
        <w:pStyle w:val="Normal"/>
        <w:ind w:firstLine="567"/>
        <w:jc w:val="both"/>
        <w:rPr/>
      </w:pPr>
      <w:r>
        <w:rPr>
          <w:rFonts w:cs="Times New Roman" w:ascii="Times New Roman" w:hAnsi="Times New Roman"/>
        </w:rPr>
        <w:t>Светлые цвета с рыжим акцентом в данном варианте используется сочетание ржавой сланцевой плитки на цоколе и комбинации серой штукатурки с более светлым деревом на основных фасадах.</w:t>
      </w:r>
    </w:p>
    <w:p>
      <w:pPr>
        <w:pStyle w:val="Normal"/>
        <w:ind w:firstLine="567"/>
        <w:jc w:val="both"/>
        <w:rPr/>
      </w:pPr>
      <w:r>
        <w:rPr>
          <w:rFonts w:cs="Times New Roman" w:ascii="Times New Roman" w:hAnsi="Times New Roman"/>
        </w:rPr>
        <w:t>Подчеркнуть данное цветовое решение можно с помощью контрастных элементов, выкрашенных цветом RAL2011. Это могут быть как оконные рамы и откосы, так и отдельные фрагменты стен (не более 10% от общей площади фасадов). В качестве материала для кровли предлагается медная черепица.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Вариант 3 (темные цвета с яркими комбинированными акцентами)</w:t>
      </w:r>
    </w:p>
    <w:p>
      <w:pPr>
        <w:pStyle w:val="Normal"/>
        <w:ind w:firstLine="567"/>
        <w:jc w:val="both"/>
        <w:rPr/>
      </w:pPr>
      <w:r>
        <w:rPr>
          <w:rFonts w:cs="Times New Roman" w:ascii="Times New Roman" w:hAnsi="Times New Roman"/>
        </w:rPr>
        <w:t>Темные цвета с яркими комбинированными акцентами данное сочетание характерно комбинацией темных оттенков натурального камня на фасадах и кровле с ярким мореным деревом и декоративными панелями из меди с традиционным орнаментом. Для усиления контраста рекомендуется применять темные элементы цвета RAL5004.</w:t>
      </w:r>
    </w:p>
    <w:p>
      <w:pPr>
        <w:pStyle w:val="Normal"/>
        <w:ind w:firstLine="567"/>
        <w:jc w:val="both"/>
        <w:rPr>
          <w:rFonts w:ascii="Times New Roman" w:hAnsi="Times New Roman" w:cs="Times New Roman"/>
        </w:rPr>
      </w:pPr>
      <w:r>
        <w:rPr>
          <w:rFonts w:cs="Times New Roman" w:ascii="Times New Roman" w:hAnsi="Times New Roman"/>
        </w:rPr>
      </w:r>
    </w:p>
    <w:p>
      <w:pPr>
        <w:pStyle w:val="TableofFigures1"/>
        <w:ind w:firstLine="567"/>
        <w:jc w:val="both"/>
        <w:rPr/>
      </w:pPr>
      <w:r>
        <w:drawing>
          <wp:anchor behindDoc="0" distT="0" distB="0" distL="114300" distR="114300" simplePos="0" locked="0" layoutInCell="1" allowOverlap="1" relativeHeight="13">
            <wp:simplePos x="0" y="0"/>
            <wp:positionH relativeFrom="column">
              <wp:posOffset>129540</wp:posOffset>
            </wp:positionH>
            <wp:positionV relativeFrom="paragraph">
              <wp:posOffset>37465</wp:posOffset>
            </wp:positionV>
            <wp:extent cx="5875655" cy="4180840"/>
            <wp:effectExtent l="0" t="0" r="0" b="0"/>
            <wp:wrapTopAndBottom/>
            <wp:docPr id="11" name="Изображение10" descr="G:\PROJECTS\АРХЫЗ-2\РАБОТА\АИКОМ № 237_Подэтапы 5.2_6.2_7.2\jpg\150326_Страница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0" descr="G:\PROJECTS\АРХЫЗ-2\РАБОТА\АИКОМ № 237_Подэтапы 5.2_6.2_7.2\jpg\150326_Страница_136.jpg"/>
                    <pic:cNvPicPr>
                      <a:picLocks noChangeAspect="1" noChangeArrowheads="1"/>
                    </pic:cNvPicPr>
                  </pic:nvPicPr>
                  <pic:blipFill>
                    <a:blip r:embed="rId75"/>
                    <a:srcRect l="0" t="51340" r="0" b="0"/>
                    <a:stretch>
                      <a:fillRect/>
                    </a:stretch>
                  </pic:blipFill>
                  <pic:spPr bwMode="auto">
                    <a:xfrm>
                      <a:off x="0" y="0"/>
                      <a:ext cx="5875655" cy="4180840"/>
                    </a:xfrm>
                    <a:prstGeom prst="rect">
                      <a:avLst/>
                    </a:prstGeom>
                  </pic:spPr>
                </pic:pic>
              </a:graphicData>
            </a:graphic>
          </wp:anchor>
        </w:drawing>
      </w:r>
      <w:r>
        <w:rPr>
          <w:rFonts w:cs="Times New Roman" w:ascii="Times New Roman" w:hAnsi="Times New Roman"/>
        </w:rPr>
        <w:t>Р</w:t>
      </w:r>
      <w:r>
        <w:rPr>
          <w:rFonts w:cs="Times New Roman" w:ascii="Times New Roman" w:hAnsi="Times New Roman"/>
        </w:rPr>
        <w:t>исунок 11. Колористическое решение туристической деревни Дукка-2000 (вариант 2).</w:t>
      </w:r>
    </w:p>
    <w:p>
      <w:pPr>
        <w:pStyle w:val="TableofFigures1"/>
        <w:ind w:firstLine="567"/>
        <w:jc w:val="both"/>
        <w:rPr/>
      </w:pPr>
      <w:r>
        <w:drawing>
          <wp:anchor behindDoc="0" distT="0" distB="5715" distL="114300" distR="114300" simplePos="0" locked="0" layoutInCell="1" allowOverlap="1" relativeHeight="14">
            <wp:simplePos x="0" y="0"/>
            <wp:positionH relativeFrom="column">
              <wp:posOffset>-26670</wp:posOffset>
            </wp:positionH>
            <wp:positionV relativeFrom="paragraph">
              <wp:posOffset>24765</wp:posOffset>
            </wp:positionV>
            <wp:extent cx="5946140" cy="3994785"/>
            <wp:effectExtent l="0" t="0" r="0" b="0"/>
            <wp:wrapTopAndBottom/>
            <wp:docPr id="12" name="Изображение11" descr="G:\PROJECTS\АРХЫЗ-2\РАБОТА\АИКОМ № 237_Подэтапы 5.2_6.2_7.2\jpg\150326_Страница_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1" descr="G:\PROJECTS\АРХЫЗ-2\РАБОТА\АИКОМ № 237_Подэтапы 5.2_6.2_7.2\jpg\150326_Страница_137.jpg"/>
                    <pic:cNvPicPr>
                      <a:picLocks noChangeAspect="1" noChangeArrowheads="1"/>
                    </pic:cNvPicPr>
                  </pic:nvPicPr>
                  <pic:blipFill>
                    <a:blip r:embed="rId76"/>
                    <a:stretch>
                      <a:fillRect/>
                    </a:stretch>
                  </pic:blipFill>
                  <pic:spPr bwMode="auto">
                    <a:xfrm>
                      <a:off x="0" y="0"/>
                      <a:ext cx="5946140" cy="3994785"/>
                    </a:xfrm>
                    <a:prstGeom prst="rect">
                      <a:avLst/>
                    </a:prstGeom>
                  </pic:spPr>
                </pic:pic>
              </a:graphicData>
            </a:graphic>
          </wp:anchor>
        </w:drawing>
      </w:r>
      <w:r>
        <w:rPr>
          <w:rFonts w:cs="Times New Roman" w:ascii="Times New Roman" w:hAnsi="Times New Roman"/>
        </w:rPr>
        <w:t>Р</w:t>
      </w:r>
      <w:r>
        <w:rPr>
          <w:rFonts w:cs="Times New Roman" w:ascii="Times New Roman" w:hAnsi="Times New Roman"/>
        </w:rPr>
        <w:t>исунок 12. Колористическое решение туристической деревни Дукка-2000 (вариант 3).</w:t>
      </w:r>
    </w:p>
    <w:p>
      <w:pPr>
        <w:pStyle w:val="Normal"/>
        <w:ind w:firstLine="567"/>
        <w:jc w:val="both"/>
        <w:rPr>
          <w:rFonts w:ascii="Times New Roman" w:hAnsi="Times New Roman" w:cs="Times New Roman"/>
        </w:rPr>
      </w:pPr>
      <w:r>
        <w:rPr>
          <w:rFonts w:cs="Times New Roman" w:ascii="Times New Roman" w:hAnsi="Times New Roman"/>
        </w:rPr>
      </w:r>
    </w:p>
    <w:p>
      <w:pPr>
        <w:pStyle w:val="3"/>
        <w:numPr>
          <w:ilvl w:val="0"/>
          <w:numId w:val="0"/>
        </w:numPr>
        <w:ind w:left="1080" w:hanging="360"/>
        <w:jc w:val="center"/>
        <w:rPr/>
      </w:pPr>
      <w:bookmarkStart w:id="345" w:name="_Toc424230741"/>
      <w:bookmarkEnd w:id="345"/>
      <w:r>
        <w:rPr>
          <w:rFonts w:cs="Times New Roman"/>
        </w:rPr>
        <w:t>Статья 91. Требования к архитектурному стилю туристической деревни Пхия-2200</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1. Общие особенности туристической деревни Пхия-2200 ориентированы на категорию обеспеченных посетителей, ищущих по-настоящему уникальный и аутентичный зимний курорт. Эта направленность отразится на архитектурном стиле деревни, который должен быть максимально изысканным, с акцентом на использовании высококачественных натуральных материалов и многочисленных декоративных элементов в сочетании с применением сложных архитектурных форм.</w:t>
      </w:r>
    </w:p>
    <w:p>
      <w:pPr>
        <w:pStyle w:val="Normal"/>
        <w:ind w:firstLine="567"/>
        <w:jc w:val="both"/>
        <w:rPr/>
      </w:pPr>
      <w:r>
        <w:rPr>
          <w:rFonts w:cs="Times New Roman" w:ascii="Times New Roman" w:hAnsi="Times New Roman"/>
        </w:rPr>
        <w:t>2. Архитектурный стиль туристической деревни Пхия-2200 должен являться сочетанием альпийских, региональных и местных архитектурных традиций с применением современных технологий. Высококачественные элементы отделки и декора должны соответствовать общей концепции туристической деревни премиум-класса. В туристической деревне Пхия-2200 рекомендуется использовать грубо обработанные отделочные материалы.</w:t>
      </w:r>
    </w:p>
    <w:p>
      <w:pPr>
        <w:pStyle w:val="Normal"/>
        <w:ind w:firstLine="567"/>
        <w:jc w:val="both"/>
        <w:rPr/>
      </w:pPr>
      <w:r>
        <w:rPr>
          <w:rFonts w:cs="Times New Roman" w:ascii="Times New Roman" w:hAnsi="Times New Roman"/>
        </w:rPr>
        <w:t>3. В гостинице категории 5 звезд предусматривается использование массивных деревянных элементов, в том числе для наружной отделки.</w:t>
      </w:r>
    </w:p>
    <w:p>
      <w:pPr>
        <w:pStyle w:val="Normal"/>
        <w:ind w:firstLine="567"/>
        <w:jc w:val="both"/>
        <w:rPr/>
      </w:pPr>
      <w:r>
        <w:rPr>
          <w:rFonts w:cs="Times New Roman" w:ascii="Times New Roman" w:hAnsi="Times New Roman"/>
        </w:rPr>
        <w:t>4. Кровля может быть как симметричной, так и абсолютно несимметричной с одним выдающимся фронтоном. Крыша сложной структуры, включает такие элементы, как фронтоны и слуховые окна. Предполагается, что кровля будет состоять из несколько скатных крыш, которые сделают внешний вид гостиницы более интересным.</w:t>
      </w:r>
    </w:p>
    <w:p>
      <w:pPr>
        <w:pStyle w:val="Normal"/>
        <w:ind w:firstLine="567"/>
        <w:jc w:val="both"/>
        <w:rPr/>
      </w:pPr>
      <w:r>
        <w:rPr>
          <w:rFonts w:cs="Times New Roman" w:ascii="Times New Roman" w:hAnsi="Times New Roman"/>
        </w:rPr>
        <w:t>5. Основные особенности отделки туристической деревни Пхия-2200 - индивидуальная авторская архитектура, дорогие натуральные материалы и необычные сочетания цвета и текстур. (см. Рисунки 13-15).</w:t>
      </w:r>
    </w:p>
    <w:p>
      <w:pPr>
        <w:pStyle w:val="Normal"/>
        <w:ind w:firstLine="567"/>
        <w:jc w:val="both"/>
        <w:rPr/>
      </w:pPr>
      <w:r>
        <w:rPr>
          <w:rFonts w:cs="Times New Roman" w:ascii="Times New Roman" w:hAnsi="Times New Roman"/>
        </w:rPr>
        <w:t>Вариант 1 (темные глубокие оттенки с медной отделкой)</w:t>
      </w:r>
    </w:p>
    <w:p>
      <w:pPr>
        <w:pStyle w:val="Normal"/>
        <w:ind w:firstLine="567"/>
        <w:jc w:val="both"/>
        <w:rPr/>
      </w:pPr>
      <w:r>
        <w:rPr>
          <w:rFonts w:cs="Times New Roman" w:ascii="Times New Roman" w:hAnsi="Times New Roman"/>
        </w:rPr>
        <w:t>Фасады. Темные благородные оттенки дерева и натурального камня сочетаются с большими объемами остекления. Четкое горизонтальное и вертикальное членение фасадов. Национальные орнаменты, традиционные мотивы в современной интерпретации активно используются в качестве акцентов отделки.</w:t>
      </w:r>
    </w:p>
    <w:p>
      <w:pPr>
        <w:pStyle w:val="Normal"/>
        <w:ind w:firstLine="567"/>
        <w:jc w:val="both"/>
        <w:rPr/>
      </w:pPr>
      <w:r>
        <w:rPr>
          <w:rFonts w:cs="Times New Roman" w:ascii="Times New Roman" w:hAnsi="Times New Roman"/>
        </w:rPr>
        <w:t>Кровля. Рекомендуется натуральная плоская черепица из темно-серого сланца. Для оформления ливнестоков, дымоходов и прочих деталей кровли используется медь.</w:t>
      </w:r>
    </w:p>
    <w:p>
      <w:pPr>
        <w:pStyle w:val="Normal"/>
        <w:ind w:firstLine="567"/>
        <w:jc w:val="both"/>
        <w:rPr/>
      </w:pPr>
      <w:r>
        <w:drawing>
          <wp:anchor behindDoc="0" distT="0" distB="0" distL="114300" distR="114300" simplePos="0" locked="0" layoutInCell="1" allowOverlap="1" relativeHeight="15">
            <wp:simplePos x="0" y="0"/>
            <wp:positionH relativeFrom="column">
              <wp:posOffset>-194310</wp:posOffset>
            </wp:positionH>
            <wp:positionV relativeFrom="paragraph">
              <wp:posOffset>1136650</wp:posOffset>
            </wp:positionV>
            <wp:extent cx="6061710" cy="3834765"/>
            <wp:effectExtent l="0" t="0" r="0" b="0"/>
            <wp:wrapTopAndBottom/>
            <wp:docPr id="13" name="Изображение12" descr="G:\PROJECTS\АРХЫЗ-2\РАБОТА\АИКОМ № 237_Подэтапы 5.2_6.2_7.2\jpg\150326_Страница_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2" descr="G:\PROJECTS\АРХЫЗ-2\РАБОТА\АИКОМ № 237_Подэтапы 5.2_6.2_7.2\jpg\150326_Страница_160.jpg"/>
                    <pic:cNvPicPr>
                      <a:picLocks noChangeAspect="1" noChangeArrowheads="1"/>
                    </pic:cNvPicPr>
                  </pic:nvPicPr>
                  <pic:blipFill>
                    <a:blip r:embed="rId77"/>
                    <a:srcRect l="0" t="0" r="0" b="55139"/>
                    <a:stretch>
                      <a:fillRect/>
                    </a:stretch>
                  </pic:blipFill>
                  <pic:spPr bwMode="auto">
                    <a:xfrm>
                      <a:off x="0" y="0"/>
                      <a:ext cx="6061710" cy="3834765"/>
                    </a:xfrm>
                    <a:prstGeom prst="rect">
                      <a:avLst/>
                    </a:prstGeom>
                  </pic:spPr>
                </pic:pic>
              </a:graphicData>
            </a:graphic>
          </wp:anchor>
        </w:drawing>
      </w:r>
      <w:r>
        <w:rPr>
          <w:rFonts w:cs="Times New Roman" w:ascii="Times New Roman" w:hAnsi="Times New Roman"/>
        </w:rPr>
        <w:t>П</w:t>
      </w:r>
      <w:r>
        <w:rPr>
          <w:rFonts w:cs="Times New Roman" w:ascii="Times New Roman" w:hAnsi="Times New Roman"/>
        </w:rPr>
        <w:t>алитра акцентов. Основной архитектурный акцент формируется за счет формы и компоновки архитектурных масс. Акцентные элементы отделки подчеркивает общую тектонику здания. Возможные элементы - орнаментальные фасадные панели, индивидуальный рисунок оконных конструкций, каминные трубы и т.п.</w:t>
      </w:r>
    </w:p>
    <w:p>
      <w:pPr>
        <w:pStyle w:val="TableofFigures1"/>
        <w:ind w:firstLine="567"/>
        <w:jc w:val="both"/>
        <w:rPr/>
      </w:pPr>
      <w:r>
        <w:rPr>
          <w:rFonts w:cs="Times New Roman" w:ascii="Times New Roman" w:hAnsi="Times New Roman"/>
        </w:rPr>
        <w:t>Рисунок 13. Колористическое решение туристической деревни Пхия-2200 (вариант 1).</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Вариант 2 (богатые натуральные материалы теплых оттенков с зеленой медной патиной)</w:t>
      </w:r>
    </w:p>
    <w:p>
      <w:pPr>
        <w:pStyle w:val="Normal"/>
        <w:ind w:firstLine="567"/>
        <w:jc w:val="both"/>
        <w:rPr/>
      </w:pPr>
      <w:r>
        <w:rPr>
          <w:rFonts w:cs="Times New Roman" w:ascii="Times New Roman" w:hAnsi="Times New Roman"/>
        </w:rPr>
        <w:t>Фасады. Фасад полностью облицован натуральным камнем коричневых оттенков. Плотная текстура камня уравновешена большими оконными блоками с темно-зелеными переплетами и массивными деревянными деталями.</w:t>
      </w:r>
    </w:p>
    <w:p>
      <w:pPr>
        <w:pStyle w:val="Normal"/>
        <w:ind w:firstLine="567"/>
        <w:jc w:val="both"/>
        <w:rPr/>
      </w:pPr>
      <w:r>
        <w:rPr>
          <w:rFonts w:cs="Times New Roman" w:ascii="Times New Roman" w:hAnsi="Times New Roman"/>
        </w:rPr>
        <w:t>Кровля. Плоская медная черепица, со временем покрывающаяся ярко-зеленой патиной.</w:t>
      </w:r>
    </w:p>
    <w:p>
      <w:pPr>
        <w:pStyle w:val="Normal"/>
        <w:ind w:firstLine="567"/>
        <w:jc w:val="both"/>
        <w:rPr/>
      </w:pPr>
      <w:r>
        <w:rPr>
          <w:rFonts w:cs="Times New Roman" w:ascii="Times New Roman" w:hAnsi="Times New Roman"/>
        </w:rPr>
        <w:t>Палитра акцентов. В качестве акцента предлагается использовать архитектурные детали темно- зеленого цвета (например, подшивка свесов кровли, ограждения балконов, ставни и переплеты окон и т.п.).</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TableofFigures1"/>
        <w:ind w:firstLine="567"/>
        <w:jc w:val="both"/>
        <w:rPr/>
      </w:pPr>
      <w:r>
        <w:drawing>
          <wp:anchor behindDoc="0" distT="0" distB="0" distL="133350" distR="114300" simplePos="0" locked="0" layoutInCell="1" allowOverlap="1" relativeHeight="16">
            <wp:simplePos x="0" y="0"/>
            <wp:positionH relativeFrom="column">
              <wp:posOffset>-127635</wp:posOffset>
            </wp:positionH>
            <wp:positionV relativeFrom="paragraph">
              <wp:posOffset>-71120</wp:posOffset>
            </wp:positionV>
            <wp:extent cx="6061710" cy="3790315"/>
            <wp:effectExtent l="0" t="0" r="0" b="0"/>
            <wp:wrapTopAndBottom/>
            <wp:docPr id="14" name="Изображение13" descr="G:\PROJECTS\АРХЫЗ-2\РАБОТА\АИКОМ № 237_Подэтапы 5.2_6.2_7.2\jpg\150326_Страница_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13" descr="G:\PROJECTS\АРХЫЗ-2\РАБОТА\АИКОМ № 237_Подэтапы 5.2_6.2_7.2\jpg\150326_Страница_160.jpg"/>
                    <pic:cNvPicPr>
                      <a:picLocks noChangeAspect="1" noChangeArrowheads="1"/>
                    </pic:cNvPicPr>
                  </pic:nvPicPr>
                  <pic:blipFill>
                    <a:blip r:embed="rId78"/>
                    <a:srcRect l="0" t="50052" r="0" b="5608"/>
                    <a:stretch>
                      <a:fillRect/>
                    </a:stretch>
                  </pic:blipFill>
                  <pic:spPr bwMode="auto">
                    <a:xfrm>
                      <a:off x="0" y="0"/>
                      <a:ext cx="6061710" cy="3790315"/>
                    </a:xfrm>
                    <a:prstGeom prst="rect">
                      <a:avLst/>
                    </a:prstGeom>
                  </pic:spPr>
                </pic:pic>
              </a:graphicData>
            </a:graphic>
          </wp:anchor>
        </w:drawing>
      </w:r>
      <w:r>
        <w:rPr>
          <w:rFonts w:cs="Times New Roman" w:ascii="Times New Roman" w:hAnsi="Times New Roman"/>
        </w:rPr>
        <w:t>Р</w:t>
      </w:r>
      <w:r>
        <w:rPr>
          <w:rFonts w:cs="Times New Roman" w:ascii="Times New Roman" w:hAnsi="Times New Roman"/>
        </w:rPr>
        <w:t>исунок 14. Колористическое решение туристической деревни Пхия-2200 (вариант 2).</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pPr>
      <w:r>
        <w:rPr>
          <w:rFonts w:cs="Times New Roman" w:ascii="Times New Roman" w:hAnsi="Times New Roman"/>
        </w:rPr>
        <w:t>Вариант 3 (темные цвета натуральных материалов с коричневой патинированной медью)</w:t>
      </w:r>
    </w:p>
    <w:p>
      <w:pPr>
        <w:pStyle w:val="Normal"/>
        <w:ind w:firstLine="567"/>
        <w:jc w:val="both"/>
        <w:rPr/>
      </w:pPr>
      <w:r>
        <w:rPr>
          <w:rFonts w:cs="Times New Roman" w:ascii="Times New Roman" w:hAnsi="Times New Roman"/>
        </w:rPr>
        <w:t>Фасады. Основной тон - теплые охристо-коричневые оттенки древесины в сочетании с крупными объемами облицовки натуральным камнем, медными панелями, дополняемые темными архитектурными деталями. Большие панорамные окна.</w:t>
      </w:r>
    </w:p>
    <w:p>
      <w:pPr>
        <w:pStyle w:val="Normal"/>
        <w:ind w:firstLine="567"/>
        <w:jc w:val="both"/>
        <w:rPr/>
      </w:pPr>
      <w:r>
        <w:rPr>
          <w:rFonts w:cs="Times New Roman" w:ascii="Times New Roman" w:hAnsi="Times New Roman"/>
        </w:rPr>
        <w:t>Кровля. Плоская титано-цинковая или сланцевая черепица темно-серого цвета.</w:t>
      </w:r>
    </w:p>
    <w:p>
      <w:pPr>
        <w:pStyle w:val="Normal"/>
        <w:ind w:firstLine="567"/>
        <w:jc w:val="both"/>
        <w:rPr/>
      </w:pPr>
      <w:r>
        <w:rPr>
          <w:rFonts w:cs="Times New Roman" w:ascii="Times New Roman" w:hAnsi="Times New Roman"/>
        </w:rPr>
        <w:t>Палитра акцентов. Фасадные конструкции и декоративные элементы из меди усиливают общую теплую цветовую палитру (не более 20 % от фасада).</w:t>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Normal"/>
        <w:ind w:firstLine="567"/>
        <w:jc w:val="both"/>
        <w:rPr>
          <w:rFonts w:ascii="Times New Roman" w:hAnsi="Times New Roman" w:cs="Times New Roman"/>
        </w:rPr>
      </w:pPr>
      <w:r>
        <w:rPr>
          <w:rFonts w:cs="Times New Roman" w:ascii="Times New Roman" w:hAnsi="Times New Roman"/>
        </w:rPr>
      </w:r>
    </w:p>
    <w:p>
      <w:pPr>
        <w:pStyle w:val="TableofFigures1"/>
        <w:ind w:firstLine="567"/>
        <w:jc w:val="both"/>
        <w:rPr/>
      </w:pPr>
      <w:r>
        <w:drawing>
          <wp:anchor behindDoc="0" distT="0" distB="8890" distL="114300" distR="114300" simplePos="0" locked="0" layoutInCell="1" allowOverlap="1" relativeHeight="7">
            <wp:simplePos x="0" y="0"/>
            <wp:positionH relativeFrom="column">
              <wp:posOffset>-132080</wp:posOffset>
            </wp:positionH>
            <wp:positionV relativeFrom="paragraph">
              <wp:posOffset>22225</wp:posOffset>
            </wp:positionV>
            <wp:extent cx="5946140" cy="4163060"/>
            <wp:effectExtent l="0" t="0" r="0" b="0"/>
            <wp:wrapTopAndBottom/>
            <wp:docPr id="15" name="Изображение14" descr="G:\PROJECTS\АРХЫЗ-2\РАБОТА\АИКОМ № 237_Подэтапы 5.2_6.2_7.2\jpg\150326_Страница_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14" descr="G:\PROJECTS\АРХЫЗ-2\РАБОТА\АИКОМ № 237_Подэтапы 5.2_6.2_7.2\jpg\150326_Страница_161.jpg"/>
                    <pic:cNvPicPr>
                      <a:picLocks noChangeAspect="1" noChangeArrowheads="1"/>
                    </pic:cNvPicPr>
                  </pic:nvPicPr>
                  <pic:blipFill>
                    <a:blip r:embed="rId79"/>
                    <a:stretch>
                      <a:fillRect/>
                    </a:stretch>
                  </pic:blipFill>
                  <pic:spPr bwMode="auto">
                    <a:xfrm>
                      <a:off x="0" y="0"/>
                      <a:ext cx="5946140" cy="4163060"/>
                    </a:xfrm>
                    <a:prstGeom prst="rect">
                      <a:avLst/>
                    </a:prstGeom>
                  </pic:spPr>
                </pic:pic>
              </a:graphicData>
            </a:graphic>
          </wp:anchor>
        </w:drawing>
      </w:r>
      <w:r>
        <w:rPr>
          <w:rFonts w:cs="Times New Roman" w:ascii="Times New Roman" w:hAnsi="Times New Roman"/>
        </w:rPr>
        <w:t>Р</w:t>
      </w:r>
      <w:r>
        <w:rPr>
          <w:rFonts w:cs="Times New Roman" w:ascii="Times New Roman" w:hAnsi="Times New Roman"/>
        </w:rPr>
        <w:t>исунок 15. Колористическое решение туристической деревни Пхия-2200 (вариант 3).</w:t>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r>
        <w:br w:type="page"/>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1"/>
        <w:numPr>
          <w:ilvl w:val="0"/>
          <w:numId w:val="0"/>
        </w:numPr>
        <w:jc w:val="center"/>
        <w:rPr/>
      </w:pPr>
      <w:bookmarkStart w:id="346" w:name="_Toc424230742"/>
      <w:bookmarkEnd w:id="346"/>
      <w:r>
        <w:rPr>
          <w:rFonts w:eastAsia="Times New Roman" w:cs="Times New Roman"/>
          <w:lang w:eastAsia="ru-RU"/>
        </w:rPr>
        <w:t>ПРИЛОЖЕНИЯ</w:t>
      </w:r>
    </w:p>
    <w:p>
      <w:pPr>
        <w:pStyle w:val="Normal"/>
        <w:rPr>
          <w:rFonts w:ascii="Times New Roman" w:hAnsi="Times New Roman" w:cs="Times New Roman"/>
        </w:rPr>
      </w:pPr>
      <w:r>
        <w:rPr>
          <w:rFonts w:cs="Times New Roman" w:ascii="Times New Roman" w:hAnsi="Times New Roman"/>
        </w:rPr>
      </w:r>
      <w:r>
        <w:br w:type="page"/>
      </w:r>
    </w:p>
    <w:p>
      <w:pPr>
        <w:pStyle w:val="Style99"/>
        <w:spacing w:lineRule="auto" w:line="240"/>
        <w:rPr/>
      </w:pPr>
      <w:r>
        <w:rPr>
          <w:rFonts w:eastAsia="Times New Roman" w:cs="Times New Roman" w:ascii="Times New Roman" w:hAnsi="Times New Roman"/>
          <w:lang w:eastAsia="ru-RU"/>
        </w:rPr>
        <w:t>Приложение 1</w:t>
      </w:r>
    </w:p>
    <w:p>
      <w:pPr>
        <w:pStyle w:val="Style99"/>
        <w:spacing w:lineRule="auto" w:line="240"/>
        <w:rPr/>
      </w:pPr>
      <w:r>
        <w:rPr>
          <w:rFonts w:eastAsia="Times New Roman" w:cs="Times New Roman" w:ascii="Times New Roman" w:hAnsi="Times New Roman"/>
          <w:lang w:eastAsia="ru-RU"/>
        </w:rPr>
        <w:t>к Правилам использования земельных участков</w:t>
      </w:r>
    </w:p>
    <w:p>
      <w:pPr>
        <w:pStyle w:val="Style99"/>
        <w:spacing w:lineRule="auto" w:line="240"/>
        <w:rPr/>
      </w:pPr>
      <w:r>
        <w:rPr>
          <w:rFonts w:eastAsia="Times New Roman" w:cs="Times New Roman" w:ascii="Times New Roman" w:hAnsi="Times New Roman"/>
          <w:lang w:eastAsia="ru-RU"/>
        </w:rPr>
        <w:t>в границах Всесезонного туристско-рекреационного</w:t>
      </w:r>
    </w:p>
    <w:p>
      <w:pPr>
        <w:pStyle w:val="Style99"/>
        <w:spacing w:lineRule="auto" w:line="240"/>
        <w:rPr/>
      </w:pPr>
      <w:r>
        <w:rPr>
          <w:rFonts w:eastAsia="Times New Roman" w:cs="Times New Roman" w:ascii="Times New Roman" w:hAnsi="Times New Roman"/>
          <w:lang w:eastAsia="ru-RU"/>
        </w:rPr>
        <w:t>комплекса «Архыз»</w:t>
      </w:r>
    </w:p>
    <w:p>
      <w:pPr>
        <w:pStyle w:val="Style61"/>
        <w:ind w:firstLine="567"/>
        <w:jc w:val="both"/>
        <w:rPr/>
      </w:pPr>
      <w:r>
        <w:rPr/>
      </w:r>
    </w:p>
    <w:p>
      <w:pPr>
        <w:pStyle w:val="Style61"/>
        <w:jc w:val="center"/>
        <w:rPr/>
      </w:pPr>
      <w:r>
        <w:rPr/>
        <w:t>Основные термины и определения</w:t>
      </w:r>
    </w:p>
    <w:p>
      <w:pPr>
        <w:pStyle w:val="Style61"/>
        <w:ind w:firstLine="567"/>
        <w:jc w:val="both"/>
        <w:rPr/>
      </w:pPr>
      <w:r>
        <w:rPr/>
      </w:r>
    </w:p>
    <w:p>
      <w:pPr>
        <w:pStyle w:val="Normal"/>
        <w:ind w:firstLine="567"/>
        <w:jc w:val="both"/>
        <w:rPr/>
      </w:pPr>
      <w:r>
        <w:rPr>
          <w:rFonts w:eastAsia="Times New Roman" w:cs="Times New Roman" w:ascii="Times New Roman" w:hAnsi="Times New Roman"/>
        </w:rPr>
        <w:t>Ассимиляционный потенциал (емкость) - самоочищающая способность экосистемы, показатель максимальной вместимости количества загрязняющих веществ, которое может быть за единицу времени накоплено, разрушено и выведено за пределы экосистемы без нарушения ее нормальной деятельности.</w:t>
      </w:r>
    </w:p>
    <w:p>
      <w:pPr>
        <w:pStyle w:val="Normal"/>
        <w:ind w:firstLine="567"/>
        <w:jc w:val="both"/>
        <w:rPr/>
      </w:pPr>
      <w:r>
        <w:rPr>
          <w:rFonts w:eastAsia="Times New Roman" w:cs="Times New Roman" w:ascii="Times New Roman" w:hAnsi="Times New Roman"/>
        </w:rPr>
        <w:t>Бордюрный пандус - сооружение, обеспечивающее съезд с пешеходного пути на проезжую часть через сниженный или утопленный в покрытие бордюрный камень.</w:t>
      </w:r>
    </w:p>
    <w:p>
      <w:pPr>
        <w:pStyle w:val="Normal"/>
        <w:ind w:firstLine="567"/>
        <w:jc w:val="both"/>
        <w:rPr/>
      </w:pPr>
      <w:r>
        <w:rPr>
          <w:rFonts w:eastAsia="Times New Roman" w:cs="Times New Roman" w:ascii="Times New Roman" w:hAnsi="Times New Roman"/>
        </w:rPr>
        <w:t>Вертикальное озеленение - использование фасадных поверхностей зданий и сооружений, включая балконы, лоджии, галереи, подпорные стенки и т.п., для размещения на них стационарных и мобильных зеленых насаждений.</w:t>
      </w:r>
    </w:p>
    <w:p>
      <w:pPr>
        <w:pStyle w:val="Normal"/>
        <w:ind w:firstLine="567"/>
        <w:jc w:val="both"/>
        <w:rPr/>
      </w:pPr>
      <w:r>
        <w:rPr>
          <w:rFonts w:eastAsia="Times New Roman" w:cs="Times New Roman" w:ascii="Times New Roman" w:hAnsi="Times New Roman"/>
        </w:rPr>
        <w:t>Зональность (типичная зональность) - характеристики структуры растительности в зависимости от природно-географических условий территории.</w:t>
      </w:r>
    </w:p>
    <w:p>
      <w:pPr>
        <w:pStyle w:val="Normal"/>
        <w:ind w:firstLine="567"/>
        <w:jc w:val="both"/>
        <w:rPr/>
      </w:pPr>
      <w:r>
        <w:rPr>
          <w:rFonts w:eastAsia="Times New Roman" w:cs="Times New Roman" w:ascii="Times New Roman" w:hAnsi="Times New Roman"/>
        </w:rPr>
        <w:t>Крышное озеленение - использование кровель зданий и сооружений для создания на них архитектурно-ландшафтных объектов (газонов, цветников, садов, площадок с деревьями и кустами и пр.).</w:t>
      </w:r>
    </w:p>
    <w:p>
      <w:pPr>
        <w:pStyle w:val="Normal"/>
        <w:ind w:firstLine="567"/>
        <w:jc w:val="both"/>
        <w:rPr/>
      </w:pPr>
      <w:r>
        <w:rPr>
          <w:rFonts w:eastAsia="Times New Roman" w:cs="Times New Roman" w:ascii="Times New Roman" w:hAnsi="Times New Roman"/>
        </w:rPr>
        <w:t>Объёмно-пространственная структура объектов ландшафтного искусства - метод или форма ландшафтной организации среды населенного пункта; типы объемно-пространственной структуры: закрытые (боскеты, массивы, рощи), открытые (поляны, лужайки, партеры, крупные цветники, площади, водоемы, плоскостные спортивные сооружения), полуоткрытые (рощи, группы, а также сочетания элементов закрытых и открытых структур).</w:t>
      </w:r>
    </w:p>
    <w:p>
      <w:pPr>
        <w:pStyle w:val="Normal"/>
        <w:ind w:firstLine="567"/>
        <w:jc w:val="both"/>
        <w:rPr/>
      </w:pPr>
      <w:r>
        <w:rPr>
          <w:rFonts w:eastAsia="Times New Roman" w:cs="Times New Roman" w:ascii="Times New Roman" w:hAnsi="Times New Roman"/>
        </w:rPr>
        <w:t xml:space="preserve">Пешеходные зоны - участки территории населенного пункта, на которых осуществляется движение людей в прогулочных и культурно-бытовых целях, в целях транзитного передвижения и которые обладают определенными характеристиками: наличие остановок наземного общественного транспорта, высокая концентрация объектов обслуживания, памятников истории и культуры, рекреаций и т.п., высокая суммарная плотность пешеходных потоков. Пешеходные зоны могут формироваться на </w:t>
      </w:r>
      <w:r>
        <w:fldChar w:fldCharType="begin"/>
      </w:r>
      <w:r>
        <w:instrText> HYPERLINK "http://www.garant.ru/products/ipo/prime/doc/70018446/" \l "13"</w:instrText>
      </w:r>
      <w:r>
        <w:fldChar w:fldCharType="separate"/>
      </w:r>
      <w:r>
        <w:rPr>
          <w:rStyle w:val="Style5"/>
          <w:rFonts w:eastAsia="Times New Roman" w:cs="Times New Roman" w:ascii="Times New Roman" w:hAnsi="Times New Roman"/>
        </w:rPr>
        <w:t>эспланадах</w:t>
      </w:r>
      <w:r>
        <w:fldChar w:fldCharType="end"/>
      </w:r>
      <w:r>
        <w:rPr>
          <w:rFonts w:eastAsia="Times New Roman" w:cs="Times New Roman" w:ascii="Times New Roman" w:hAnsi="Times New Roman"/>
        </w:rPr>
        <w:t>, пешеходных улицах, пешеходных частях площадей туристических деревень.</w:t>
      </w:r>
    </w:p>
    <w:p>
      <w:pPr>
        <w:pStyle w:val="Normal"/>
        <w:ind w:firstLine="567"/>
        <w:jc w:val="both"/>
        <w:rPr/>
      </w:pPr>
      <w:r>
        <w:rPr>
          <w:rFonts w:eastAsia="Times New Roman" w:cs="Times New Roman" w:ascii="Times New Roman" w:hAnsi="Times New Roman"/>
        </w:rPr>
        <w:t xml:space="preserve">Пешеходные улицы - связи между различными территориями и районами туристической деревни, закрытые для транспортного сообщения и приспособленные для пешеходного передвижения. </w:t>
      </w:r>
    </w:p>
    <w:p>
      <w:pPr>
        <w:pStyle w:val="Normal"/>
        <w:ind w:firstLine="567"/>
        <w:jc w:val="both"/>
        <w:rPr/>
      </w:pPr>
      <w:r>
        <w:rPr>
          <w:rFonts w:eastAsia="Times New Roman" w:cs="Times New Roman" w:ascii="Times New Roman" w:hAnsi="Times New Roman"/>
        </w:rPr>
        <w:t>Пешеходные части площади - участки и пространства площади, предназначенные для пешеходного движения, могут быть представлены всей территорией площади (представительские и мемориальные) или ее частью (приобъектные).</w:t>
      </w:r>
    </w:p>
    <w:p>
      <w:pPr>
        <w:pStyle w:val="Normal"/>
        <w:ind w:firstLine="567"/>
        <w:jc w:val="both"/>
        <w:rPr/>
      </w:pPr>
      <w:r>
        <w:rPr>
          <w:rFonts w:eastAsia="Times New Roman" w:cs="Times New Roman" w:ascii="Times New Roman" w:hAnsi="Times New Roman"/>
        </w:rPr>
        <w:t>Рекреационный потенциал - способность территории обеспечивать определенное количество отдыхающих психофизиологическим комфортом и возможностью для отдыха (спортивно-укрепляющей деятельности) без деградации природной среды. Выражается числом людей (или человеко-дней) на единицу площади.</w:t>
      </w:r>
    </w:p>
    <w:p>
      <w:pPr>
        <w:pStyle w:val="Normal"/>
        <w:ind w:firstLine="567"/>
        <w:jc w:val="both"/>
        <w:rPr/>
      </w:pPr>
      <w:r>
        <w:rPr>
          <w:rFonts w:eastAsia="Times New Roman" w:cs="Times New Roman" w:ascii="Times New Roman" w:hAnsi="Times New Roman"/>
        </w:rPr>
        <w:t>Сомкнутость полога насаждений - отношение площади горизонтальной (вертикальной) проекции полога насаждений без просветов к площади горизонтальной (вертикальной) проекции всего полога, выражается в десятых долях единицы.</w:t>
      </w:r>
    </w:p>
    <w:p>
      <w:pPr>
        <w:pStyle w:val="Normal"/>
        <w:ind w:firstLine="567"/>
        <w:jc w:val="both"/>
        <w:rPr/>
      </w:pPr>
      <w:r>
        <w:rPr>
          <w:rFonts w:eastAsia="Times New Roman" w:cs="Times New Roman" w:ascii="Times New Roman" w:hAnsi="Times New Roman"/>
        </w:rPr>
        <w:t>Тактильное покрытие - покрытие с ощутимым изменением фактуры поверхностного слоя.</w:t>
      </w:r>
    </w:p>
    <w:p>
      <w:pPr>
        <w:pStyle w:val="Normal"/>
        <w:ind w:firstLine="567"/>
        <w:jc w:val="both"/>
        <w:rPr/>
      </w:pPr>
      <w:r>
        <w:rPr>
          <w:rFonts w:eastAsia="Times New Roman" w:cs="Times New Roman" w:ascii="Times New Roman" w:hAnsi="Times New Roman"/>
        </w:rPr>
        <w:t>Эспланады - широкие пешеходные проходы вдоль магистралей, предназначенные для прогулок населения, организации подходов к особо значимым объектам. Ширина эспланады должна превышать в 1,5-2 раза ширину тротуара, требуемую для пропуска пешеходного потока.</w:t>
      </w:r>
    </w:p>
    <w:p>
      <w:pPr>
        <w:pStyle w:val="Normal"/>
        <w:ind w:firstLine="567"/>
        <w:jc w:val="both"/>
        <w:rPr>
          <w:rFonts w:ascii="Times New Roman" w:hAnsi="Times New Roman" w:eastAsia="Times New Roman" w:cs="Times New Roman"/>
        </w:rPr>
      </w:pPr>
      <w:r>
        <w:rPr>
          <w:rFonts w:eastAsia="Times New Roman" w:cs="Times New Roman" w:ascii="Times New Roman" w:hAnsi="Times New Roman"/>
        </w:rPr>
      </w:r>
    </w:p>
    <w:p>
      <w:pPr>
        <w:pStyle w:val="Style61"/>
        <w:jc w:val="center"/>
        <w:rPr/>
      </w:pPr>
      <w:r>
        <w:rPr/>
        <w:t xml:space="preserve">Термины и определения </w:t>
      </w:r>
      <w:r>
        <w:fldChar w:fldCharType="begin"/>
      </w:r>
      <w:r>
        <w:instrText> HYPERLINK "http://www.garant.ru/products/ipo/prime/doc/70018446/" \l "4000"</w:instrText>
      </w:r>
      <w:r>
        <w:fldChar w:fldCharType="separate"/>
      </w:r>
      <w:r>
        <w:rPr>
          <w:rStyle w:val="Style5"/>
        </w:rPr>
        <w:t>Приложения 4</w:t>
      </w:r>
      <w:r>
        <w:fldChar w:fldCharType="end"/>
      </w:r>
      <w:r>
        <w:rPr/>
        <w:t xml:space="preserve"> настоящих Правил</w:t>
      </w:r>
    </w:p>
    <w:p>
      <w:pPr>
        <w:pStyle w:val="Style61"/>
        <w:ind w:firstLine="567"/>
        <w:jc w:val="both"/>
        <w:rPr/>
      </w:pPr>
      <w:r>
        <w:rPr/>
      </w:r>
    </w:p>
    <w:p>
      <w:pPr>
        <w:pStyle w:val="Normal"/>
        <w:ind w:firstLine="567"/>
        <w:jc w:val="both"/>
        <w:rPr/>
      </w:pPr>
      <w:r>
        <w:rPr>
          <w:rFonts w:eastAsia="Times New Roman" w:cs="Times New Roman" w:ascii="Times New Roman" w:hAnsi="Times New Roman"/>
        </w:rPr>
        <w:t>Биологическое загрязнение почвы - вид и степень загрязнения почвы, при котором она теряет способность обеспечивать нормальное функционирование растительности.</w:t>
      </w:r>
    </w:p>
    <w:p>
      <w:pPr>
        <w:pStyle w:val="Normal"/>
        <w:ind w:firstLine="567"/>
        <w:jc w:val="both"/>
        <w:rPr/>
      </w:pPr>
      <w:r>
        <w:rPr>
          <w:rFonts w:eastAsia="Times New Roman" w:cs="Times New Roman" w:ascii="Times New Roman" w:hAnsi="Times New Roman"/>
        </w:rPr>
        <w:t>Грунт - субстрат, состоящий из минерального и органического вещества природного и антропогенного происхождения.</w:t>
      </w:r>
    </w:p>
    <w:p>
      <w:pPr>
        <w:pStyle w:val="Normal"/>
        <w:ind w:firstLine="567"/>
        <w:jc w:val="both"/>
        <w:rPr/>
      </w:pPr>
      <w:r>
        <w:rPr>
          <w:rFonts w:eastAsia="Times New Roman" w:cs="Times New Roman" w:ascii="Times New Roman" w:hAnsi="Times New Roman"/>
        </w:rPr>
        <w:t>Минимальный почвенный выдел - трехмерный фрагмент почвы, способный обеспечить полноценный жизненный цикл дерева.</w:t>
      </w:r>
    </w:p>
    <w:p>
      <w:pPr>
        <w:pStyle w:val="Normal"/>
        <w:ind w:firstLine="567"/>
        <w:jc w:val="both"/>
        <w:rPr/>
      </w:pPr>
      <w:r>
        <w:rPr>
          <w:rFonts w:eastAsia="Times New Roman" w:cs="Times New Roman" w:ascii="Times New Roman" w:hAnsi="Times New Roman"/>
        </w:rPr>
        <w:t>Плодородный слой - в естественных почвах это гумусовый горизонт. В урбоконструктоземах - слой (горизонт), состоящий из плодородного грунта мощностью до 20 см.</w:t>
      </w:r>
    </w:p>
    <w:p>
      <w:pPr>
        <w:pStyle w:val="Normal"/>
        <w:ind w:firstLine="567"/>
        <w:jc w:val="both"/>
        <w:rPr/>
      </w:pPr>
      <w:r>
        <w:rPr>
          <w:rFonts w:eastAsia="Times New Roman" w:cs="Times New Roman" w:ascii="Times New Roman" w:hAnsi="Times New Roman"/>
        </w:rPr>
        <w:t>Плодородный грунт - грунт, искусственно формируемый из минерального и органического материала и обладающий заданными физическими, химическими и биологическими свойствами или состоящий из нарушенного субстрата естественно-природных гумусовых горизонтов. В плодородном грунте не должно быть включений бытового и строительного мусора. Содержание физической глины (фракции &lt; 0,01 мм) - не менее 30-40%, содержание гумуса - 3-4%, рН - 5,5-7,0.</w:t>
      </w:r>
    </w:p>
    <w:p>
      <w:pPr>
        <w:pStyle w:val="Normal"/>
        <w:ind w:firstLine="567"/>
        <w:jc w:val="both"/>
        <w:rPr/>
      </w:pPr>
      <w:r>
        <w:rPr>
          <w:rFonts w:eastAsia="Times New Roman" w:cs="Times New Roman" w:ascii="Times New Roman" w:hAnsi="Times New Roman"/>
        </w:rPr>
        <w:t>Почвообразующий грунт - грунт, преобразуемый почвообразующими процессами и обладающий оптимальными свойствами для обеспечения жизнедеятельности растений.</w:t>
      </w:r>
    </w:p>
    <w:p>
      <w:pPr>
        <w:pStyle w:val="Normal"/>
        <w:ind w:firstLine="567"/>
        <w:jc w:val="both"/>
        <w:rPr/>
      </w:pPr>
      <w:r>
        <w:rPr>
          <w:rFonts w:eastAsia="Times New Roman" w:cs="Times New Roman" w:ascii="Times New Roman" w:hAnsi="Times New Roman"/>
        </w:rPr>
        <w:t>Приоритетный компонент загрязнения - вещество или биологический агент, подлежащий контролю в первую очередь.</w:t>
      </w:r>
    </w:p>
    <w:p>
      <w:pPr>
        <w:pStyle w:val="Normal"/>
        <w:ind w:firstLine="567"/>
        <w:jc w:val="both"/>
        <w:rPr/>
      </w:pPr>
      <w:r>
        <w:rPr>
          <w:rFonts w:eastAsia="Times New Roman" w:cs="Times New Roman" w:ascii="Times New Roman" w:hAnsi="Times New Roman"/>
        </w:rPr>
        <w:t>Санитарное состояние почвы - совокупность физико-химических и биологических свойств почвы, определяющих качество и степень ее безопасности в эпидемическом и гигиеническом отношении.</w:t>
      </w:r>
    </w:p>
    <w:p>
      <w:pPr>
        <w:pStyle w:val="Normal"/>
        <w:rPr>
          <w:rFonts w:ascii="Times New Roman" w:hAnsi="Times New Roman" w:eastAsia="Times New Roman" w:cs="Times New Roman"/>
        </w:rPr>
      </w:pPr>
      <w:r>
        <w:rPr>
          <w:rFonts w:eastAsia="Times New Roman" w:cs="Times New Roman" w:ascii="Times New Roman" w:hAnsi="Times New Roman"/>
        </w:rPr>
      </w:r>
      <w:r>
        <w:br w:type="page"/>
      </w:r>
    </w:p>
    <w:p>
      <w:pPr>
        <w:pStyle w:val="Style99"/>
        <w:spacing w:lineRule="auto" w:line="240"/>
        <w:rPr/>
      </w:pPr>
      <w:r>
        <w:rPr>
          <w:rFonts w:eastAsia="Times New Roman" w:cs="Times New Roman" w:ascii="Times New Roman" w:hAnsi="Times New Roman"/>
          <w:lang w:eastAsia="ru-RU"/>
        </w:rPr>
        <w:t>Приложение 2</w:t>
      </w:r>
    </w:p>
    <w:p>
      <w:pPr>
        <w:pStyle w:val="Style99"/>
        <w:spacing w:lineRule="auto" w:line="240"/>
        <w:rPr/>
      </w:pPr>
      <w:r>
        <w:rPr>
          <w:rFonts w:eastAsia="Times New Roman" w:cs="Times New Roman" w:ascii="Times New Roman" w:hAnsi="Times New Roman"/>
          <w:lang w:eastAsia="ru-RU"/>
        </w:rPr>
        <w:t>к части 4 Правил использования земельных участков</w:t>
      </w:r>
    </w:p>
    <w:p>
      <w:pPr>
        <w:pStyle w:val="Style99"/>
        <w:spacing w:lineRule="auto" w:line="240"/>
        <w:rPr/>
      </w:pPr>
      <w:r>
        <w:rPr>
          <w:rFonts w:eastAsia="Times New Roman" w:cs="Times New Roman" w:ascii="Times New Roman" w:hAnsi="Times New Roman"/>
          <w:lang w:eastAsia="ru-RU"/>
        </w:rPr>
        <w:t>в границах Всесезонного туристско-рекреационного</w:t>
      </w:r>
    </w:p>
    <w:p>
      <w:pPr>
        <w:pStyle w:val="Style99"/>
        <w:spacing w:lineRule="auto" w:line="240"/>
        <w:rPr/>
      </w:pPr>
      <w:r>
        <w:rPr>
          <w:rFonts w:eastAsia="Times New Roman" w:cs="Times New Roman" w:ascii="Times New Roman" w:hAnsi="Times New Roman"/>
          <w:lang w:eastAsia="ru-RU"/>
        </w:rPr>
        <w:t>комплекса «Архыз»</w:t>
      </w:r>
    </w:p>
    <w:p>
      <w:pPr>
        <w:pStyle w:val="Style61"/>
        <w:jc w:val="center"/>
        <w:rPr/>
      </w:pPr>
      <w:r>
        <w:rPr/>
        <w:t>Рекомендуемые параметры</w:t>
      </w:r>
    </w:p>
    <w:p>
      <w:pPr>
        <w:pStyle w:val="Style99"/>
        <w:spacing w:lineRule="auto" w:line="240"/>
        <w:rPr/>
      </w:pPr>
      <w:r>
        <w:rPr>
          <w:rFonts w:eastAsia="Times New Roman" w:cs="Times New Roman" w:ascii="Times New Roman" w:hAnsi="Times New Roman"/>
          <w:b/>
          <w:lang w:eastAsia="ru-RU"/>
        </w:rPr>
        <w:t>ТАБЛИЦА 1</w:t>
      </w:r>
    </w:p>
    <w:p>
      <w:pPr>
        <w:pStyle w:val="Style61"/>
        <w:spacing w:before="0" w:after="0"/>
        <w:jc w:val="center"/>
        <w:rPr/>
      </w:pPr>
      <w:r>
        <w:rPr/>
        <w:t>РЕКОМЕНДУЕМОЕ РАЗМЕЩЕНИЕ ДОЖДЕПРИЕМНЫХ КОЛОДЦЕВ В ЛОТКАХ ПРОЕЗЖИХ ЧАСТЕЙ УЛИЦ И ПРОЕЗДОВ</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4031"/>
        <w:gridCol w:w="6236"/>
      </w:tblGrid>
      <w:tr>
        <w:trPr/>
        <w:tc>
          <w:tcPr>
            <w:tcW w:w="40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Уклон проезжей части улицы,%о</w:t>
            </w:r>
          </w:p>
        </w:tc>
        <w:tc>
          <w:tcPr>
            <w:tcW w:w="6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Расстояние между дождеприемными колодцами, м</w:t>
            </w:r>
          </w:p>
        </w:tc>
      </w:tr>
      <w:tr>
        <w:trPr/>
        <w:tc>
          <w:tcPr>
            <w:tcW w:w="40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До 4</w:t>
            </w:r>
          </w:p>
        </w:tc>
        <w:tc>
          <w:tcPr>
            <w:tcW w:w="6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50</w:t>
            </w:r>
          </w:p>
        </w:tc>
      </w:tr>
      <w:tr>
        <w:trPr/>
        <w:tc>
          <w:tcPr>
            <w:tcW w:w="40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5-10</w:t>
            </w:r>
          </w:p>
        </w:tc>
        <w:tc>
          <w:tcPr>
            <w:tcW w:w="6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60-70</w:t>
            </w:r>
          </w:p>
        </w:tc>
      </w:tr>
      <w:tr>
        <w:trPr/>
        <w:tc>
          <w:tcPr>
            <w:tcW w:w="40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10-30</w:t>
            </w:r>
          </w:p>
        </w:tc>
        <w:tc>
          <w:tcPr>
            <w:tcW w:w="6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70-80</w:t>
            </w:r>
          </w:p>
        </w:tc>
      </w:tr>
      <w:tr>
        <w:trPr/>
        <w:tc>
          <w:tcPr>
            <w:tcW w:w="40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Свыше 30</w:t>
            </w:r>
          </w:p>
        </w:tc>
        <w:tc>
          <w:tcPr>
            <w:tcW w:w="6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Не более 60</w:t>
            </w:r>
          </w:p>
        </w:tc>
      </w:tr>
      <w:tr>
        <w:trPr/>
        <w:tc>
          <w:tcPr>
            <w:tcW w:w="10267"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Примечание 1 - Пропускная способность одной горизонтальной водоприемной решетки определяется по формуле: при * W/I Q = 1/5 IH куб.м/с, при * W/I Q = 2W Н куб.м/с, где: Н - полный напор, равный *; * - глубина потока воды на подходе к решетке, м; V - скорость подхода воды, м/с; W - площадь всех отверстий решетки, кв.м; I - длина водосливного фронта, м, равная периметру решетки, а при примыкании решетки одной стороной к бортику лотка - сумма длин трех ее сторон. Примечание 2 - в туристических деревнях с дождливым климатом расстояния могут уточняться на основании местных данных метеонаблюдений.</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2</w:t>
      </w:r>
    </w:p>
    <w:p>
      <w:pPr>
        <w:pStyle w:val="Style61"/>
        <w:spacing w:before="0" w:after="0"/>
        <w:jc w:val="center"/>
        <w:rPr/>
      </w:pPr>
      <w:r>
        <w:rPr/>
        <w:t>РАЗМЕРЫ КОМОВ, ЯМ, ТРАНШЕЙ ДЛЯ ПОСАДКИ ДЕРЕВЬЕВ И КУСТАРНИКОВ</w:t>
      </w:r>
    </w:p>
    <w:tbl>
      <w:tblPr>
        <w:tblW w:w="10269"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2126"/>
        <w:gridCol w:w="1095"/>
        <w:gridCol w:w="594"/>
        <w:gridCol w:w="1727"/>
        <w:gridCol w:w="1078"/>
        <w:gridCol w:w="1405"/>
        <w:gridCol w:w="1105"/>
        <w:gridCol w:w="1137"/>
      </w:tblGrid>
      <w:tr>
        <w:trPr/>
        <w:tc>
          <w:tcPr>
            <w:tcW w:w="212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Наименование посадок</w:t>
            </w:r>
          </w:p>
        </w:tc>
        <w:tc>
          <w:tcPr>
            <w:tcW w:w="109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Объем кома, куб.м</w:t>
            </w:r>
          </w:p>
        </w:tc>
        <w:tc>
          <w:tcPr>
            <w:tcW w:w="59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Ед. изм.</w:t>
            </w:r>
          </w:p>
        </w:tc>
        <w:tc>
          <w:tcPr>
            <w:tcW w:w="1727"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Размер посадочных ям, м</w:t>
            </w:r>
          </w:p>
        </w:tc>
        <w:tc>
          <w:tcPr>
            <w:tcW w:w="107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Объем ямы, куб.м</w:t>
            </w:r>
          </w:p>
        </w:tc>
        <w:tc>
          <w:tcPr>
            <w:tcW w:w="140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Площадь ямы, кв.м</w:t>
            </w:r>
          </w:p>
        </w:tc>
        <w:tc>
          <w:tcPr>
            <w:tcW w:w="2242"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Расход растительной земли при замене</w:t>
            </w:r>
          </w:p>
        </w:tc>
      </w:tr>
      <w:tr>
        <w:trPr/>
        <w:tc>
          <w:tcPr>
            <w:tcW w:w="21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b/>
                <w:b/>
                <w:bCs/>
              </w:rPr>
            </w:pPr>
            <w:r>
              <w:rPr>
                <w:rFonts w:eastAsia="Times New Roman" w:cs="Times New Roman" w:ascii="Times New Roman" w:hAnsi="Times New Roman"/>
                <w:b/>
                <w:bCs/>
              </w:rPr>
            </w:r>
          </w:p>
        </w:tc>
        <w:tc>
          <w:tcPr>
            <w:tcW w:w="109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b/>
                <w:b/>
                <w:bCs/>
              </w:rPr>
            </w:pPr>
            <w:r>
              <w:rPr>
                <w:rFonts w:eastAsia="Times New Roman" w:cs="Times New Roman" w:ascii="Times New Roman" w:hAnsi="Times New Roman"/>
                <w:b/>
                <w:bCs/>
              </w:rPr>
            </w:r>
          </w:p>
        </w:tc>
        <w:tc>
          <w:tcPr>
            <w:tcW w:w="5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b/>
                <w:b/>
                <w:bCs/>
              </w:rPr>
            </w:pPr>
            <w:r>
              <w:rPr>
                <w:rFonts w:eastAsia="Times New Roman" w:cs="Times New Roman" w:ascii="Times New Roman" w:hAnsi="Times New Roman"/>
                <w:b/>
                <w:bCs/>
              </w:rPr>
            </w:r>
          </w:p>
        </w:tc>
        <w:tc>
          <w:tcPr>
            <w:tcW w:w="172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b/>
                <w:b/>
                <w:bCs/>
              </w:rPr>
            </w:pPr>
            <w:r>
              <w:rPr>
                <w:rFonts w:eastAsia="Times New Roman" w:cs="Times New Roman" w:ascii="Times New Roman" w:hAnsi="Times New Roman"/>
                <w:b/>
                <w:bCs/>
              </w:rPr>
            </w:r>
          </w:p>
        </w:tc>
        <w:tc>
          <w:tcPr>
            <w:tcW w:w="107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b/>
                <w:b/>
                <w:bCs/>
              </w:rPr>
            </w:pPr>
            <w:r>
              <w:rPr>
                <w:rFonts w:eastAsia="Times New Roman" w:cs="Times New Roman" w:ascii="Times New Roman" w:hAnsi="Times New Roman"/>
                <w:b/>
                <w:bCs/>
              </w:rPr>
            </w:r>
          </w:p>
        </w:tc>
        <w:tc>
          <w:tcPr>
            <w:tcW w:w="140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b/>
                <w:b/>
                <w:bCs/>
              </w:rPr>
            </w:pPr>
            <w:r>
              <w:rPr>
                <w:rFonts w:eastAsia="Times New Roman" w:cs="Times New Roman" w:ascii="Times New Roman" w:hAnsi="Times New Roman"/>
                <w:b/>
                <w:bCs/>
              </w:rPr>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50%</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100%</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Саженцы без кома: хвойные</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1,0x1,0x0,8</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0,63</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0,79</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0,25</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0,565</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лиственные</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0,7x0,7x0,6</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0,27</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0,38</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0,11</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0,241</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Для деревьев с комом:</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0,8x0,8x0,5</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0,25</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1,5x1,5x0,85</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1,50</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1,76</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0,48</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1,08</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1,0x1,0x0,6</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0,6</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1,9x1,9x0,85</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3,07</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3,61</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0,99</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2,23</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1,3x1,3x0,6</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1,01</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2,2x2,2x0,85</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4,11</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4,84</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1,24</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2,97</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1,5x1,5x0,6</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1,46</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2,4x2,4x0,85</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5,18</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5,76</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1,49</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3,35</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1,7x1,7x0,6</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1,88</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2,6x2,6x0,85</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6,08</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6,76</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1,68</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3,79</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2,0x2,0x0,6</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3,20</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2,9x2,9x1,05</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8,83</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8,41</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2,25</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5,06</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Кустарники:</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Однорядн. живая изгородь б/кома</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п.м.</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0,5x0,5</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0,25</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0,5</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0,1</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0,225</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Двухрядн. живая изгородь б/кома</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п.м.</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0,7x0,7</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0,35</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0,7</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0,14</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0,315</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Кустарники в группах б/кома</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0,5x0,5</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0,14</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0,29</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0,057</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0,127</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Для кустарников с комом:</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rPr>
            </w:pPr>
            <w:r>
              <w:rPr>
                <w:rFonts w:eastAsia="Times New Roman" w:cs="Times New Roman" w:ascii="Times New Roman" w:hAnsi="Times New Roman"/>
              </w:rPr>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Д-0,5 Н-0,4</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0,08</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1,0x0,65</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0,51</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0,79</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0,17</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0,39</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Д-0,8 Н-0,5</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0,25</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1,5x0,85</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1,50</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1,76</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0,48</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1,08</w:t>
            </w:r>
          </w:p>
        </w:tc>
      </w:tr>
      <w:tr>
        <w:trPr/>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Д-1,0 Н-0,6</w:t>
            </w:r>
          </w:p>
        </w:tc>
        <w:tc>
          <w:tcPr>
            <w:tcW w:w="10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0,6</w:t>
            </w:r>
          </w:p>
        </w:tc>
        <w:tc>
          <w:tcPr>
            <w:tcW w:w="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шт.</w:t>
            </w:r>
          </w:p>
        </w:tc>
        <w:tc>
          <w:tcPr>
            <w:tcW w:w="17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1,9x1,9x0,85</w:t>
            </w:r>
          </w:p>
        </w:tc>
        <w:tc>
          <w:tcPr>
            <w:tcW w:w="10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3,07</w:t>
            </w:r>
          </w:p>
        </w:tc>
        <w:tc>
          <w:tcPr>
            <w:tcW w:w="14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3,61</w:t>
            </w:r>
          </w:p>
        </w:tc>
        <w:tc>
          <w:tcPr>
            <w:tcW w:w="11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0,99</w:t>
            </w:r>
          </w:p>
        </w:tc>
        <w:tc>
          <w:tcPr>
            <w:tcW w:w="1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rPr>
              <w:t>2,23</w:t>
            </w:r>
          </w:p>
        </w:tc>
      </w:tr>
    </w:tbl>
    <w:p>
      <w:pPr>
        <w:pStyle w:val="Normal"/>
        <w:rPr>
          <w:rFonts w:ascii="Times New Roman" w:hAnsi="Times New Roman" w:eastAsia="Times New Roman" w:cs="Times New Roman"/>
          <w:b/>
          <w:b/>
        </w:rPr>
      </w:pPr>
      <w:r>
        <w:rPr>
          <w:rFonts w:eastAsia="Times New Roman" w:cs="Times New Roman" w:ascii="Times New Roman" w:hAnsi="Times New Roman"/>
          <w:b/>
        </w:rPr>
      </w:r>
    </w:p>
    <w:p>
      <w:pPr>
        <w:pStyle w:val="Style99"/>
        <w:spacing w:lineRule="auto" w:line="240"/>
        <w:rPr/>
      </w:pPr>
      <w:r>
        <w:rPr>
          <w:rFonts w:eastAsia="Times New Roman" w:cs="Times New Roman" w:ascii="Times New Roman" w:hAnsi="Times New Roman"/>
          <w:b/>
          <w:lang w:eastAsia="ru-RU"/>
        </w:rPr>
        <w:t>ТАБЛИЦА 3</w:t>
      </w:r>
    </w:p>
    <w:p>
      <w:pPr>
        <w:pStyle w:val="Style61"/>
        <w:spacing w:before="0" w:after="0"/>
        <w:jc w:val="center"/>
        <w:rPr/>
      </w:pPr>
      <w:r>
        <w:rPr/>
        <w:t>МАКСИМАЛЬНОЕ КОЛИЧЕСТВО ДЕРЕВЬЕВ И КУСТАРНИКОВ НА 1 ГА ОЗЕЛЕНЕННОЙ ТЕРРИТОРИИ</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4550"/>
        <w:gridCol w:w="2446"/>
        <w:gridCol w:w="3272"/>
      </w:tblGrid>
      <w:tr>
        <w:trPr/>
        <w:tc>
          <w:tcPr>
            <w:tcW w:w="102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Количество штук</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Типы объектов</w:t>
            </w:r>
          </w:p>
        </w:tc>
        <w:tc>
          <w:tcPr>
            <w:tcW w:w="2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Деревья</w:t>
            </w:r>
          </w:p>
        </w:tc>
        <w:tc>
          <w:tcPr>
            <w:tcW w:w="3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Кустарники</w:t>
            </w:r>
          </w:p>
        </w:tc>
      </w:tr>
      <w:tr>
        <w:trPr/>
        <w:tc>
          <w:tcPr>
            <w:tcW w:w="102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Озелененные территории общего пользования</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Парки общегородские и районные</w:t>
            </w:r>
          </w:p>
        </w:tc>
        <w:tc>
          <w:tcPr>
            <w:tcW w:w="2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120-170</w:t>
            </w:r>
          </w:p>
        </w:tc>
        <w:tc>
          <w:tcPr>
            <w:tcW w:w="3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800-1000</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Скверы</w:t>
            </w:r>
          </w:p>
        </w:tc>
        <w:tc>
          <w:tcPr>
            <w:tcW w:w="2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100-130</w:t>
            </w:r>
          </w:p>
        </w:tc>
        <w:tc>
          <w:tcPr>
            <w:tcW w:w="3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1000-1300</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Бульвары</w:t>
            </w:r>
          </w:p>
        </w:tc>
        <w:tc>
          <w:tcPr>
            <w:tcW w:w="2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200-300</w:t>
            </w:r>
          </w:p>
        </w:tc>
        <w:tc>
          <w:tcPr>
            <w:tcW w:w="3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1200-1300</w:t>
            </w:r>
          </w:p>
        </w:tc>
      </w:tr>
      <w:tr>
        <w:trPr/>
        <w:tc>
          <w:tcPr>
            <w:tcW w:w="102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Озелененные территории на участках застройки</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Участки жилой застройки</w:t>
            </w:r>
          </w:p>
        </w:tc>
        <w:tc>
          <w:tcPr>
            <w:tcW w:w="2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100-120</w:t>
            </w:r>
          </w:p>
        </w:tc>
        <w:tc>
          <w:tcPr>
            <w:tcW w:w="3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400-480</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Участки детских садов и яслей</w:t>
            </w:r>
          </w:p>
        </w:tc>
        <w:tc>
          <w:tcPr>
            <w:tcW w:w="2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160-200</w:t>
            </w:r>
          </w:p>
        </w:tc>
        <w:tc>
          <w:tcPr>
            <w:tcW w:w="3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640-800</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Участки школ</w:t>
            </w:r>
          </w:p>
        </w:tc>
        <w:tc>
          <w:tcPr>
            <w:tcW w:w="2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140-180</w:t>
            </w:r>
          </w:p>
        </w:tc>
        <w:tc>
          <w:tcPr>
            <w:tcW w:w="3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560-720</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Спортивные комплексы</w:t>
            </w:r>
          </w:p>
        </w:tc>
        <w:tc>
          <w:tcPr>
            <w:tcW w:w="2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100-130</w:t>
            </w:r>
          </w:p>
        </w:tc>
        <w:tc>
          <w:tcPr>
            <w:tcW w:w="3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400-520</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Больницы и лечебные учреждения</w:t>
            </w:r>
          </w:p>
        </w:tc>
        <w:tc>
          <w:tcPr>
            <w:tcW w:w="2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180-250</w:t>
            </w:r>
          </w:p>
        </w:tc>
        <w:tc>
          <w:tcPr>
            <w:tcW w:w="3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720-1000</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Участки промышленных предприятий</w:t>
            </w:r>
          </w:p>
        </w:tc>
        <w:tc>
          <w:tcPr>
            <w:tcW w:w="2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150-180*</w:t>
            </w:r>
          </w:p>
        </w:tc>
        <w:tc>
          <w:tcPr>
            <w:tcW w:w="3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600-720</w:t>
            </w:r>
          </w:p>
        </w:tc>
      </w:tr>
      <w:tr>
        <w:trPr/>
        <w:tc>
          <w:tcPr>
            <w:tcW w:w="102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Озелененные территории специального назначения</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Улицы, набережные</w:t>
            </w:r>
            <w:r>
              <w:fldChar w:fldCharType="begin"/>
            </w:r>
            <w:r>
              <w:instrText> HYPERLINK "http://www.garant.ru/products/ipo/prime/doc/70018446/" \l "2322"</w:instrText>
            </w:r>
            <w:r>
              <w:fldChar w:fldCharType="separate"/>
            </w:r>
            <w:r>
              <w:rPr>
                <w:rStyle w:val="Style5"/>
                <w:rFonts w:eastAsia="Times New Roman" w:cs="Times New Roman" w:ascii="Times New Roman" w:hAnsi="Times New Roman"/>
              </w:rPr>
              <w:t>**</w:t>
            </w:r>
            <w:r>
              <w:fldChar w:fldCharType="end"/>
            </w:r>
          </w:p>
        </w:tc>
        <w:tc>
          <w:tcPr>
            <w:tcW w:w="24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150-180</w:t>
            </w:r>
          </w:p>
        </w:tc>
        <w:tc>
          <w:tcPr>
            <w:tcW w:w="3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600-720</w:t>
            </w:r>
          </w:p>
        </w:tc>
      </w:tr>
      <w:tr>
        <w:trPr/>
        <w:tc>
          <w:tcPr>
            <w:tcW w:w="45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Санитарно-защитные зоны</w:t>
            </w:r>
          </w:p>
        </w:tc>
        <w:tc>
          <w:tcPr>
            <w:tcW w:w="571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 зависимости от процента озеленения зоны</w:t>
            </w:r>
            <w:r>
              <w:fldChar w:fldCharType="begin"/>
            </w:r>
            <w:r>
              <w:instrText> HYPERLINK "http://www.garant.ru/products/ipo/prime/doc/70018446/" \l "2333"</w:instrText>
            </w:r>
            <w:r>
              <w:fldChar w:fldCharType="separate"/>
            </w:r>
            <w:r>
              <w:rPr>
                <w:rStyle w:val="Style5"/>
                <w:rFonts w:eastAsia="Times New Roman" w:cs="Times New Roman" w:ascii="Times New Roman" w:hAnsi="Times New Roman"/>
              </w:rPr>
              <w:t>***</w:t>
            </w:r>
            <w:r>
              <w:fldChar w:fldCharType="end"/>
            </w:r>
          </w:p>
        </w:tc>
      </w:tr>
      <w:tr>
        <w:trPr/>
        <w:tc>
          <w:tcPr>
            <w:tcW w:w="102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В зависимости от профиля предприятия. ** На 1 км при условии допустимости насаждений. *** В соответствии с п. 2.28 СанПиН 2.2.1/2.1.1.1031</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4</w:t>
      </w:r>
    </w:p>
    <w:p>
      <w:pPr>
        <w:pStyle w:val="Style61"/>
        <w:spacing w:before="0" w:after="0"/>
        <w:jc w:val="center"/>
        <w:rPr/>
      </w:pPr>
      <w:r>
        <w:rPr/>
        <w:t>ДОЛЯ ЦВЕТНИКОВ НА ОЗЕЛЕНЕННЫХ ТЕРРИТОРИЯХ ОБЪЕКТОВ РЕКРЕАЦИИ</w:t>
      </w:r>
    </w:p>
    <w:tbl>
      <w:tblPr>
        <w:tblW w:w="988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3023"/>
        <w:gridCol w:w="6864"/>
      </w:tblGrid>
      <w:tr>
        <w:trPr/>
        <w:tc>
          <w:tcPr>
            <w:tcW w:w="9887"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В процентах</w:t>
            </w:r>
          </w:p>
        </w:tc>
      </w:tr>
      <w:tr>
        <w:trPr/>
        <w:tc>
          <w:tcPr>
            <w:tcW w:w="30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Виды объектов рекреации</w:t>
            </w:r>
          </w:p>
        </w:tc>
        <w:tc>
          <w:tcPr>
            <w:tcW w:w="68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Удельный вес цветников* от площади озеленения объектов</w:t>
            </w:r>
          </w:p>
        </w:tc>
      </w:tr>
      <w:tr>
        <w:trPr/>
        <w:tc>
          <w:tcPr>
            <w:tcW w:w="30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Парки</w:t>
            </w:r>
          </w:p>
        </w:tc>
        <w:tc>
          <w:tcPr>
            <w:tcW w:w="68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2,0-2,5</w:t>
            </w:r>
          </w:p>
        </w:tc>
      </w:tr>
      <w:tr>
        <w:trPr/>
        <w:tc>
          <w:tcPr>
            <w:tcW w:w="30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Сады</w:t>
            </w:r>
          </w:p>
        </w:tc>
        <w:tc>
          <w:tcPr>
            <w:tcW w:w="68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2,5-3,0</w:t>
            </w:r>
          </w:p>
        </w:tc>
      </w:tr>
      <w:tr>
        <w:trPr/>
        <w:tc>
          <w:tcPr>
            <w:tcW w:w="30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Скверы</w:t>
            </w:r>
          </w:p>
        </w:tc>
        <w:tc>
          <w:tcPr>
            <w:tcW w:w="68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4,0-5,0</w:t>
            </w:r>
          </w:p>
        </w:tc>
      </w:tr>
      <w:tr>
        <w:trPr/>
        <w:tc>
          <w:tcPr>
            <w:tcW w:w="30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Бульвары</w:t>
            </w:r>
          </w:p>
        </w:tc>
        <w:tc>
          <w:tcPr>
            <w:tcW w:w="68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3,0-4,0</w:t>
            </w:r>
          </w:p>
        </w:tc>
      </w:tr>
      <w:tr>
        <w:trPr/>
        <w:tc>
          <w:tcPr>
            <w:tcW w:w="9887"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В том числе не менее половины от площади цветника следует формировать из многолетников</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5</w:t>
      </w:r>
    </w:p>
    <w:p>
      <w:pPr>
        <w:pStyle w:val="Style61"/>
        <w:spacing w:before="0" w:after="0"/>
        <w:jc w:val="center"/>
        <w:rPr/>
      </w:pPr>
      <w:r>
        <w:rPr/>
        <w:t>ОБЕСПЕЧЕННОСТЬ ОЗЕЛЕНЕННЫМИ ТЕРРИТОРИЯМИ УЧАСТКОВ ОБЩЕСТВЕННОЙ, ПРОИЗВОДСТВЕННОЙ ЗАСТРОЙКИ</w:t>
      </w:r>
    </w:p>
    <w:tbl>
      <w:tblPr>
        <w:tblW w:w="9306"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6841"/>
        <w:gridCol w:w="2464"/>
      </w:tblGrid>
      <w:tr>
        <w:trPr/>
        <w:tc>
          <w:tcPr>
            <w:tcW w:w="930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В процентах</w:t>
            </w:r>
          </w:p>
        </w:tc>
      </w:tr>
      <w:tr>
        <w:trPr/>
        <w:tc>
          <w:tcPr>
            <w:tcW w:w="68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Территории участков общественной, производственной застройки</w:t>
            </w:r>
          </w:p>
        </w:tc>
        <w:tc>
          <w:tcPr>
            <w:tcW w:w="24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Территории озеленения</w:t>
            </w:r>
          </w:p>
        </w:tc>
      </w:tr>
      <w:tr>
        <w:trPr/>
        <w:tc>
          <w:tcPr>
            <w:tcW w:w="68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Участки детских зон</w:t>
            </w:r>
          </w:p>
        </w:tc>
        <w:tc>
          <w:tcPr>
            <w:tcW w:w="24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Не менее 50</w:t>
            </w:r>
          </w:p>
        </w:tc>
      </w:tr>
      <w:tr>
        <w:trPr/>
        <w:tc>
          <w:tcPr>
            <w:tcW w:w="68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Участки культурно-просветительных учреждений</w:t>
            </w:r>
          </w:p>
        </w:tc>
        <w:tc>
          <w:tcPr>
            <w:tcW w:w="24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20-30</w:t>
            </w:r>
          </w:p>
        </w:tc>
      </w:tr>
      <w:tr>
        <w:trPr/>
        <w:tc>
          <w:tcPr>
            <w:tcW w:w="68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Участки гостиничной застройки</w:t>
            </w:r>
          </w:p>
        </w:tc>
        <w:tc>
          <w:tcPr>
            <w:tcW w:w="24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40-60</w:t>
            </w:r>
          </w:p>
        </w:tc>
      </w:tr>
      <w:tr>
        <w:trPr/>
        <w:tc>
          <w:tcPr>
            <w:tcW w:w="68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Участки производственной застройки</w:t>
            </w:r>
          </w:p>
        </w:tc>
        <w:tc>
          <w:tcPr>
            <w:tcW w:w="24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10-15</w:t>
            </w:r>
            <w:r>
              <w:fldChar w:fldCharType="begin"/>
            </w:r>
            <w:r>
              <w:instrText> HYPERLINK "http://www.garant.ru/products/ipo/prime/doc/70018446/" \l "2511"</w:instrText>
            </w:r>
            <w:r>
              <w:fldChar w:fldCharType="separate"/>
            </w:r>
            <w:r>
              <w:rPr>
                <w:rStyle w:val="Style5"/>
                <w:rFonts w:eastAsia="Times New Roman" w:cs="Times New Roman" w:ascii="Times New Roman" w:hAnsi="Times New Roman"/>
              </w:rPr>
              <w:t>*</w:t>
            </w:r>
            <w:r>
              <w:fldChar w:fldCharType="end"/>
            </w:r>
          </w:p>
        </w:tc>
      </w:tr>
      <w:tr>
        <w:trPr/>
        <w:tc>
          <w:tcPr>
            <w:tcW w:w="930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В зависимости от отраслевой направленности производства.</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6</w:t>
      </w:r>
    </w:p>
    <w:p>
      <w:pPr>
        <w:pStyle w:val="Style61"/>
        <w:spacing w:before="0" w:after="0"/>
        <w:jc w:val="center"/>
        <w:rPr/>
      </w:pPr>
      <w:r>
        <w:rPr/>
        <w:t>ПРЕДЕЛЬНО ДОПУСТИМОЕ ЗАГРЯЗНЕНИЕ ВОЗДУХА ДЛЯ ЗЕЛЕНЫХ НАСАЖДЕНИЙ НА ТЕРРИТОРИИ ТУРИСТИЧЕСКОЙ ДЕРЕВНИ</w:t>
      </w:r>
    </w:p>
    <w:tbl>
      <w:tblPr>
        <w:tblW w:w="8759"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4549"/>
        <w:gridCol w:w="2467"/>
        <w:gridCol w:w="1743"/>
      </w:tblGrid>
      <w:tr>
        <w:trPr/>
        <w:tc>
          <w:tcPr>
            <w:tcW w:w="8759"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Миллиграммы на куб. метр</w:t>
            </w:r>
          </w:p>
        </w:tc>
      </w:tr>
      <w:tr>
        <w:trPr/>
        <w:tc>
          <w:tcPr>
            <w:tcW w:w="4549"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Ингредиент</w:t>
            </w:r>
          </w:p>
        </w:tc>
        <w:tc>
          <w:tcPr>
            <w:tcW w:w="421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Фитотоксичные ПДК</w:t>
            </w:r>
          </w:p>
        </w:tc>
      </w:tr>
      <w:tr>
        <w:trPr/>
        <w:tc>
          <w:tcPr>
            <w:tcW w:w="454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Максимальные разовые</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Среднесуточные</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Диоксид серы</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0,100</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0,05</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Диоксид азота</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0,09</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0,05</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Аммиак</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0,35</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0,17</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Озон</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0,47</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0,24</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Углеводороды</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0,65</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0,14</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Угарный газ</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6,7</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3,3</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Бенз(а)пирен</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0,0002</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0,0001</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Бензол</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0,1</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0,05</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Взвешенные вещества (пром. пыль, цемент)</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0,2</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0,05</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Сероводород</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0,008</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0,008</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Формальдегид</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0,02</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0,003</w:t>
            </w:r>
          </w:p>
        </w:tc>
      </w:tr>
      <w:tr>
        <w:trPr/>
        <w:tc>
          <w:tcPr>
            <w:tcW w:w="4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Хлор</w:t>
            </w:r>
          </w:p>
        </w:tc>
        <w:tc>
          <w:tcPr>
            <w:tcW w:w="24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0,025</w:t>
            </w:r>
          </w:p>
        </w:tc>
        <w:tc>
          <w:tcPr>
            <w:tcW w:w="17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0,015</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7</w:t>
      </w:r>
    </w:p>
    <w:p>
      <w:pPr>
        <w:pStyle w:val="Style61"/>
        <w:spacing w:before="0" w:after="0"/>
        <w:jc w:val="center"/>
        <w:rPr/>
      </w:pPr>
      <w:r>
        <w:rPr/>
        <w:t>ОЖИДАЕМЫЙ УРОВЕНЬ СНИЖЕНИЯ ШУМА</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5956"/>
        <w:gridCol w:w="1575"/>
        <w:gridCol w:w="2737"/>
      </w:tblGrid>
      <w:tr>
        <w:trPr/>
        <w:tc>
          <w:tcPr>
            <w:tcW w:w="59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Полоса зеленых насаждений</w:t>
            </w:r>
          </w:p>
        </w:tc>
        <w:tc>
          <w:tcPr>
            <w:tcW w:w="15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Ширина полосы, м</w:t>
            </w:r>
          </w:p>
        </w:tc>
        <w:tc>
          <w:tcPr>
            <w:tcW w:w="27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Снижение уровня звука L Азел в дБА</w:t>
            </w:r>
          </w:p>
        </w:tc>
      </w:tr>
      <w:tr>
        <w:trPr/>
        <w:tc>
          <w:tcPr>
            <w:tcW w:w="59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Однорядная или шахматная посадка</w:t>
            </w:r>
          </w:p>
        </w:tc>
        <w:tc>
          <w:tcPr>
            <w:tcW w:w="15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10-15</w:t>
            </w:r>
          </w:p>
        </w:tc>
        <w:tc>
          <w:tcPr>
            <w:tcW w:w="27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4-5</w:t>
            </w:r>
          </w:p>
        </w:tc>
      </w:tr>
      <w:tr>
        <w:trPr/>
        <w:tc>
          <w:tcPr>
            <w:tcW w:w="59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 же</w:t>
            </w:r>
          </w:p>
        </w:tc>
        <w:tc>
          <w:tcPr>
            <w:tcW w:w="15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16-20</w:t>
            </w:r>
          </w:p>
        </w:tc>
        <w:tc>
          <w:tcPr>
            <w:tcW w:w="27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5-8</w:t>
            </w:r>
          </w:p>
        </w:tc>
      </w:tr>
      <w:tr>
        <w:trPr/>
        <w:tc>
          <w:tcPr>
            <w:tcW w:w="59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Двухрядная при расстояниях между рядам и 3-5 м; ряды аналогичны однорядной посадке</w:t>
            </w:r>
          </w:p>
        </w:tc>
        <w:tc>
          <w:tcPr>
            <w:tcW w:w="15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21-25</w:t>
            </w:r>
          </w:p>
        </w:tc>
        <w:tc>
          <w:tcPr>
            <w:tcW w:w="27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8-10</w:t>
            </w:r>
          </w:p>
        </w:tc>
      </w:tr>
      <w:tr>
        <w:trPr/>
        <w:tc>
          <w:tcPr>
            <w:tcW w:w="59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Двух- или трехрядная при расстояниях между рядами 3 м; ряды аналогичны однорядной посадке</w:t>
            </w:r>
          </w:p>
        </w:tc>
        <w:tc>
          <w:tcPr>
            <w:tcW w:w="15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26-30</w:t>
            </w:r>
          </w:p>
        </w:tc>
        <w:tc>
          <w:tcPr>
            <w:tcW w:w="27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10-12</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ind w:hanging="0"/>
        <w:rPr/>
      </w:pPr>
      <w:r>
        <w:rPr>
          <w:rFonts w:eastAsia="Times New Roman" w:cs="Times New Roman" w:ascii="Times New Roman" w:hAnsi="Times New Roman"/>
          <w:b/>
          <w:lang w:eastAsia="ru-RU"/>
        </w:rPr>
        <w:t>ТАБЛИЦА 8</w:t>
      </w:r>
    </w:p>
    <w:p>
      <w:pPr>
        <w:pStyle w:val="Style61"/>
        <w:spacing w:before="0" w:after="0"/>
        <w:jc w:val="center"/>
        <w:rPr/>
      </w:pPr>
      <w:r>
        <w:rPr/>
        <w:t>ВИДЫ РАСТЕНИЙ В РАЗЛИЧНЫХ КАТЕГОРИЯХ НАСАЖДЕНИЙ</w:t>
      </w:r>
    </w:p>
    <w:tbl>
      <w:tblPr>
        <w:tblW w:w="10269"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2903"/>
        <w:gridCol w:w="1056"/>
        <w:gridCol w:w="1506"/>
        <w:gridCol w:w="1382"/>
        <w:gridCol w:w="2053"/>
        <w:gridCol w:w="1368"/>
      </w:tblGrid>
      <w:tr>
        <w:trPr/>
        <w:tc>
          <w:tcPr>
            <w:tcW w:w="290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Название растений</w:t>
            </w:r>
          </w:p>
        </w:tc>
        <w:tc>
          <w:tcPr>
            <w:tcW w:w="7365"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Рекомендации к использованию в следующих категориях насаждений</w:t>
            </w:r>
          </w:p>
        </w:tc>
      </w:tr>
      <w:tr>
        <w:trPr/>
        <w:tc>
          <w:tcPr>
            <w:tcW w:w="290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b/>
                <w:b/>
                <w:bCs/>
              </w:rPr>
            </w:pPr>
            <w:r>
              <w:rPr>
                <w:rFonts w:eastAsia="Times New Roman" w:cs="Times New Roman" w:ascii="Times New Roman" w:hAnsi="Times New Roman"/>
                <w:b/>
                <w:bCs/>
              </w:rPr>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садов, парков</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скверов, бульваров</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улиц и дорог</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внутриквартальных</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специальных</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3</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4</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w:t>
            </w:r>
          </w:p>
        </w:tc>
      </w:tr>
      <w:tr>
        <w:trPr/>
        <w:tc>
          <w:tcPr>
            <w:tcW w:w="10268" w:type="dxa"/>
            <w:gridSpan w:val="6"/>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Деревья</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Ель колючая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Лиственница русская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Туя западная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только ул.,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Белая акация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Береза повислая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только ул.,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Боярышник даурский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Боярышник колючий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Боярышник кроваво-красный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Боярышник Максимовича</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Боярышник полумягкий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Боярышник приречный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Вишня обыкновенная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Вяз гладкий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Вяз приземистый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Груша обыкновенная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маг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Груша уссурийская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Дуб красный (северный)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Дуб черешчатый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Жостер слабительный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Ива белая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бульв.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только ул.</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Ива ломкая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Ива ломкая (ф. шаровидная)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Клен Гиннала</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Клен остролистный и его формы</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Клен серебристый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бульв.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Клен татарский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Конский каштан обыкновенный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Липа голландская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Липа мелколистная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Липа крупнолистная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Лох узколистный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Орех маньчжурский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бульв.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Рябина гибридная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Рябина обыкновенная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Рябина обыкновенная (ф. плакучая)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(только для улиц)</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Тополь бальзамический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Тополь белый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бульв.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только ул.,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Тополь берлинский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Тополь канадский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Тополь китайский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бульв.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только ул.</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Тополь советский (ф. пирамидальный)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Тополь черный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Черемуха Маака</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Черемуха обыкновенная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Яблоня домашняя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Яблоня Недзведского</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Яблоня ягодная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Ясень пенсильванский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Ясень обыкновенный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10268" w:type="dxa"/>
            <w:gridSpan w:val="6"/>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Кустарники</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Барбарис обыкновенный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Барбарис обыкновенный (ф. пурпурный)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Барбарис Тунберга</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Бирючина обыкновенная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Вишня войлочная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Дерен белый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Карагана древовидная (желтая акация)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Карагана кустарник</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Кизильник обыкновенный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Жимолость (различные виды)</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Ирга (различные виды)</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Калина гордовина</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Калина обыкновенная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бульв.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Кизильник блестящий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Пузыреплодник калинолистный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Роза (различные виды)</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 огр.</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Сирень венгерская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Сирень обыкновенная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Смородина альпийская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Смородина золотистая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Снежноягодник белый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Спирея (различные виды)</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Форзичия</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Чубушник венечный</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огр.</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10268" w:type="dxa"/>
            <w:gridSpan w:val="6"/>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Лианы</w:t>
            </w:r>
          </w:p>
        </w:tc>
      </w:tr>
      <w:tr>
        <w:trPr/>
        <w:tc>
          <w:tcPr>
            <w:tcW w:w="29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Девичий виноград</w:t>
            </w:r>
          </w:p>
        </w:tc>
        <w:tc>
          <w:tcPr>
            <w:tcW w:w="1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5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3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10268" w:type="dxa"/>
            <w:gridSpan w:val="6"/>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Примечания - сокращения в таблице: с огр. - с ограничением; скв. - сквер, ул. - улицы, бульв. - бульвар</w:t>
            </w:r>
          </w:p>
        </w:tc>
      </w:tr>
    </w:tbl>
    <w:p>
      <w:pPr>
        <w:pStyle w:val="Style99"/>
        <w:spacing w:lineRule="auto" w:line="240"/>
        <w:ind w:hanging="0"/>
        <w:rPr/>
      </w:pPr>
      <w:r>
        <w:rPr>
          <w:rFonts w:eastAsia="Times New Roman" w:cs="Times New Roman" w:ascii="Times New Roman" w:hAnsi="Times New Roman"/>
          <w:b/>
          <w:lang w:eastAsia="ru-RU"/>
        </w:rPr>
        <w:t>ТАБЛИЦА 8.1</w:t>
      </w:r>
    </w:p>
    <w:p>
      <w:pPr>
        <w:pStyle w:val="Style61"/>
        <w:spacing w:before="0" w:after="0"/>
        <w:jc w:val="center"/>
        <w:rPr/>
      </w:pPr>
      <w:r>
        <w:rPr/>
        <w:t>ВИДЫ РАСТЕНИЙ, РЕКОМЕНДУЕМЫЕ ДЛЯ КРЫШНОГО И ВЕРТИКАЛЬНОГО ОЗЕЛЕНЕНИЯ</w:t>
      </w:r>
      <w:r>
        <w:fldChar w:fldCharType="begin"/>
      </w:r>
      <w:r>
        <w:instrText> HYPERLINK "http://www.garant.ru/products/ipo/prime/doc/70018446/" \l "333"</w:instrText>
      </w:r>
      <w:r>
        <w:fldChar w:fldCharType="separate"/>
      </w:r>
      <w:r>
        <w:rPr>
          <w:rStyle w:val="Style5"/>
        </w:rPr>
        <w:t>*</w:t>
      </w:r>
      <w:r>
        <w:fldChar w:fldCharType="end"/>
      </w:r>
    </w:p>
    <w:tbl>
      <w:tblPr>
        <w:tblW w:w="7020"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2687"/>
        <w:gridCol w:w="967"/>
        <w:gridCol w:w="1198"/>
        <w:gridCol w:w="1"/>
        <w:gridCol w:w="967"/>
        <w:gridCol w:w="1200"/>
      </w:tblGrid>
      <w:tr>
        <w:trPr/>
        <w:tc>
          <w:tcPr>
            <w:tcW w:w="2687"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Наименование растения</w:t>
            </w:r>
          </w:p>
        </w:tc>
        <w:tc>
          <w:tcPr>
            <w:tcW w:w="4333"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Вид озеленения</w:t>
            </w:r>
          </w:p>
        </w:tc>
      </w:tr>
      <w:tr>
        <w:trPr/>
        <w:tc>
          <w:tcPr>
            <w:tcW w:w="268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b/>
                <w:b/>
                <w:bCs/>
              </w:rPr>
            </w:pPr>
            <w:r>
              <w:rPr>
                <w:rFonts w:eastAsia="Times New Roman" w:cs="Times New Roman" w:ascii="Times New Roman" w:hAnsi="Times New Roman"/>
                <w:b/>
                <w:bCs/>
              </w:rPr>
            </w:r>
          </w:p>
        </w:tc>
        <w:tc>
          <w:tcPr>
            <w:tcW w:w="216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Крышное</w:t>
            </w:r>
          </w:p>
        </w:tc>
        <w:tc>
          <w:tcPr>
            <w:tcW w:w="21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Вертикальное</w:t>
            </w:r>
          </w:p>
        </w:tc>
      </w:tr>
      <w:tr>
        <w:trPr/>
        <w:tc>
          <w:tcPr>
            <w:tcW w:w="268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b/>
                <w:b/>
                <w:bCs/>
              </w:rPr>
            </w:pPr>
            <w:r>
              <w:rPr>
                <w:rFonts w:eastAsia="Times New Roman" w:cs="Times New Roman" w:ascii="Times New Roman" w:hAnsi="Times New Roman"/>
                <w:b/>
                <w:bCs/>
              </w:rPr>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Стацион.</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Мобильное</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Стацион.</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Мобильное</w:t>
            </w:r>
          </w:p>
        </w:tc>
      </w:tr>
      <w:tr>
        <w:trPr>
          <w:trHeight w:val="296" w:hRule="atLeast"/>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3</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4</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w:t>
            </w:r>
          </w:p>
        </w:tc>
      </w:tr>
      <w:tr>
        <w:trPr/>
        <w:tc>
          <w:tcPr>
            <w:tcW w:w="7020" w:type="dxa"/>
            <w:gridSpan w:val="6"/>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Травы</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Очиток белый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Очиток гибридный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Очиток едкий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Очиток шестирябый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Пырей бескорневой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7020" w:type="dxa"/>
            <w:gridSpan w:val="6"/>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Кусты</w:t>
            </w:r>
            <w:r>
              <w:fldChar w:fldCharType="begin"/>
            </w:r>
            <w:r>
              <w:instrText> HYPERLINK "http://www.garant.ru/products/ipo/prime/doc/70018446/" \l "4444"</w:instrText>
            </w:r>
            <w:r>
              <w:fldChar w:fldCharType="separate"/>
            </w:r>
            <w:r>
              <w:rPr>
                <w:rStyle w:val="Style5"/>
                <w:rFonts w:eastAsia="Times New Roman" w:cs="Times New Roman" w:ascii="Times New Roman" w:hAnsi="Times New Roman"/>
              </w:rPr>
              <w:t>**</w:t>
            </w:r>
            <w:r>
              <w:fldChar w:fldCharType="end"/>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Айва японская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Акация желтая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Барбарис Тунберга</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Дерен белый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Калина Городовина</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Можжевельник казацкий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Рододендрон даурский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Сирень венгерская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Сирень обыкновенная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Спирея (разл. виды)</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7020" w:type="dxa"/>
            <w:gridSpan w:val="6"/>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Лианы древесные</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Актинидия Аргута</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Виноград амурский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Виноград пятилист.</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Древогубец круглол.</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Жасмин лекарствен.</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Жимолость вьющаяся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Жимолость Брауна</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Жимолость каприфоль</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Жимолость сизая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Жимолость Тельмана</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Жимолость шорохов.</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Лимонник китайский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Роза многоцветковая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7020" w:type="dxa"/>
            <w:gridSpan w:val="6"/>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Лианы травянистые</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Горошек душистый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Ипомея трехцветная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Клематис, ломонос</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Клематис тангутский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Княжник сибирский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Луносемянник даур.</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Настурция большая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Тыква мелкоплодная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Фасоль огненно-крас</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Хмель обыкновенный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7020" w:type="dxa"/>
            <w:gridSpan w:val="6"/>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Деревья</w:t>
            </w:r>
            <w:r>
              <w:fldChar w:fldCharType="begin"/>
            </w:r>
            <w:r>
              <w:instrText> HYPERLINK "http://www.garant.ru/products/ipo/prime/doc/70018446/" \l "4444"</w:instrText>
            </w:r>
            <w:r>
              <w:fldChar w:fldCharType="separate"/>
            </w:r>
            <w:r>
              <w:rPr>
                <w:rStyle w:val="Style5"/>
                <w:rFonts w:eastAsia="Times New Roman" w:cs="Times New Roman" w:ascii="Times New Roman" w:hAnsi="Times New Roman"/>
              </w:rPr>
              <w:t>**</w:t>
            </w:r>
            <w:r>
              <w:fldChar w:fldCharType="end"/>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Бархат амурский</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Груша обыкновенная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Ель колючая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Лиственница сибирс.</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Рябина обыкновенная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Черемуха Маака</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Туя западная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6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Яблоня сибирская</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199"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bl>
    <w:p>
      <w:pPr>
        <w:pStyle w:val="Normal"/>
        <w:spacing w:before="0" w:after="238"/>
        <w:jc w:val="both"/>
        <w:rPr/>
      </w:pPr>
      <w:r>
        <w:rPr>
          <w:rFonts w:eastAsia="Times New Roman" w:cs="Times New Roman" w:ascii="Times New Roman" w:hAnsi="Times New Roman"/>
        </w:rPr>
        <w:t xml:space="preserve">* При выборе растений для </w:t>
      </w:r>
      <w:r>
        <w:fldChar w:fldCharType="begin"/>
      </w:r>
      <w:r>
        <w:instrText> HYPERLINK "http://www.garant.ru/products/ipo/prime/doc/70018446/" \l "5"</w:instrText>
      </w:r>
      <w:r>
        <w:fldChar w:fldCharType="separate"/>
      </w:r>
      <w:r>
        <w:rPr>
          <w:rStyle w:val="Style5"/>
          <w:rFonts w:eastAsia="Times New Roman" w:cs="Times New Roman" w:ascii="Times New Roman" w:hAnsi="Times New Roman"/>
        </w:rPr>
        <w:t>крышного</w:t>
      </w:r>
      <w:r>
        <w:fldChar w:fldCharType="end"/>
      </w:r>
      <w:r>
        <w:rPr>
          <w:rFonts w:eastAsia="Times New Roman" w:cs="Times New Roman" w:ascii="Times New Roman" w:hAnsi="Times New Roman"/>
        </w:rPr>
        <w:t xml:space="preserve"> и </w:t>
      </w:r>
      <w:r>
        <w:fldChar w:fldCharType="begin"/>
      </w:r>
      <w:r>
        <w:instrText> HYPERLINK "http://www.garant.ru/products/ipo/prime/doc/70018446/" \l "3"</w:instrText>
      </w:r>
      <w:r>
        <w:fldChar w:fldCharType="separate"/>
      </w:r>
      <w:r>
        <w:rPr>
          <w:rStyle w:val="Style5"/>
          <w:rFonts w:eastAsia="Times New Roman" w:cs="Times New Roman" w:ascii="Times New Roman" w:hAnsi="Times New Roman"/>
        </w:rPr>
        <w:t>вертикального озеленения</w:t>
      </w:r>
      <w:r>
        <w:fldChar w:fldCharType="end"/>
      </w:r>
      <w:r>
        <w:rPr>
          <w:rFonts w:eastAsia="Times New Roman" w:cs="Times New Roman" w:ascii="Times New Roman" w:hAnsi="Times New Roman"/>
        </w:rPr>
        <w:t xml:space="preserve"> необходимо обеспечивать соответствие между требованиями растений к освещенности и ориентацией озеленяемой поверхности относительно сторон света.</w:t>
      </w:r>
    </w:p>
    <w:p>
      <w:pPr>
        <w:pStyle w:val="Normal"/>
        <w:spacing w:before="0" w:after="238"/>
        <w:jc w:val="both"/>
        <w:rPr/>
      </w:pPr>
      <w:r>
        <w:rPr>
          <w:rFonts w:eastAsia="Times New Roman" w:cs="Times New Roman" w:ascii="Times New Roman" w:hAnsi="Times New Roman"/>
        </w:rPr>
        <w:t>** Приведенные в таблице деревья и кустарники могут использоваться для стационарного крышного озеленения покрытия подземных сооружений, располагающегося на отметке территории, а также при посадке деревьев и кустарников в опоры-колодцы зданий или сооружений с глубиной развития корневой системы растений не менее 3 м.</w:t>
      </w:r>
    </w:p>
    <w:p>
      <w:pPr>
        <w:pStyle w:val="Style99"/>
        <w:spacing w:lineRule="auto" w:line="240"/>
        <w:rPr/>
      </w:pPr>
      <w:r>
        <w:rPr>
          <w:rFonts w:eastAsia="Times New Roman" w:cs="Times New Roman" w:ascii="Times New Roman" w:hAnsi="Times New Roman"/>
          <w:b/>
          <w:lang w:eastAsia="ru-RU"/>
        </w:rPr>
        <w:t>ТАБЛИЦА 9</w:t>
      </w:r>
    </w:p>
    <w:p>
      <w:pPr>
        <w:pStyle w:val="Style61"/>
        <w:spacing w:before="0" w:after="0"/>
        <w:jc w:val="center"/>
        <w:rPr/>
      </w:pPr>
      <w:r>
        <w:rPr/>
        <w:t>ПАРАМЕТРЫ И ТРЕБОВАНИЯ ДЛЯ СОРТИРОВКИ КРУПНОМЕРНЫХ ДЕРЕВЬЕВ</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2455"/>
        <w:gridCol w:w="3948"/>
        <w:gridCol w:w="3865"/>
      </w:tblGrid>
      <w:tr>
        <w:trPr/>
        <w:tc>
          <w:tcPr>
            <w:tcW w:w="24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Наименование</w:t>
            </w:r>
          </w:p>
        </w:tc>
        <w:tc>
          <w:tcPr>
            <w:tcW w:w="394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Требования</w:t>
            </w:r>
          </w:p>
        </w:tc>
        <w:tc>
          <w:tcPr>
            <w:tcW w:w="38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Сортировка</w:t>
            </w:r>
          </w:p>
        </w:tc>
      </w:tr>
      <w:tr>
        <w:trPr/>
        <w:tc>
          <w:tcPr>
            <w:tcW w:w="24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Крупномерные деревья</w:t>
            </w:r>
            <w:r>
              <w:fldChar w:fldCharType="begin"/>
            </w:r>
            <w:r>
              <w:instrText> HYPERLINK "http://www.garant.ru/products/ipo/prime/doc/70018446/" \l "555"</w:instrText>
            </w:r>
            <w:r>
              <w:fldChar w:fldCharType="separate"/>
            </w:r>
            <w:r>
              <w:rPr>
                <w:rStyle w:val="Style5"/>
                <w:rFonts w:eastAsia="Times New Roman" w:cs="Times New Roman" w:ascii="Times New Roman" w:hAnsi="Times New Roman"/>
                <w:u w:val="single"/>
              </w:rPr>
              <w:t>*</w:t>
            </w:r>
            <w:r>
              <w:fldChar w:fldCharType="end"/>
            </w:r>
            <w:r>
              <w:rPr>
                <w:rFonts w:eastAsia="Times New Roman" w:cs="Times New Roman" w:ascii="Times New Roman" w:hAnsi="Times New Roman"/>
              </w:rPr>
              <w:t> (Кр.д.), пересаженные дважды (2хПер)</w:t>
            </w:r>
          </w:p>
        </w:tc>
        <w:tc>
          <w:tcPr>
            <w:tcW w:w="394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Кр.д. должны быть предварительно пересажены два раза или быть приведены в равноценное состояние с помощью соответствующих агроприемов. Независимо от мероприятий они обозначаются как "пересаженные два раза". Они должны соответствовать одному из сортов, иметь прямой ствол не менее 180 см в высоту и выраженный центральный побег внутри кроны (исключения: шарообразная и плакучая формы). Кр.д. должны выращиваться на одном месте не менее четырех вегетационных периодов после последней пересадки</w:t>
            </w:r>
          </w:p>
        </w:tc>
        <w:tc>
          <w:tcPr>
            <w:tcW w:w="38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Сортировка осуществляется по обхвату ствола (см): 8-10</w:t>
            </w:r>
            <w:r>
              <w:fldChar w:fldCharType="begin"/>
            </w:r>
            <w:r>
              <w:instrText> HYPERLINK "http://www.garant.ru/products/ipo/prime/doc/70018446/" \l "666"</w:instrText>
            </w:r>
            <w:r>
              <w:fldChar w:fldCharType="separate"/>
            </w:r>
            <w:r>
              <w:rPr>
                <w:rStyle w:val="Style5"/>
                <w:rFonts w:eastAsia="Times New Roman" w:cs="Times New Roman" w:ascii="Times New Roman" w:hAnsi="Times New Roman"/>
                <w:u w:val="single"/>
              </w:rPr>
              <w:t>**</w:t>
            </w:r>
            <w:r>
              <w:fldChar w:fldCharType="end"/>
            </w:r>
            <w:r>
              <w:rPr>
                <w:rFonts w:eastAsia="Times New Roman" w:cs="Times New Roman" w:ascii="Times New Roman" w:hAnsi="Times New Roman"/>
              </w:rPr>
              <w:t>, 10</w:t>
            </w:r>
            <w:r>
              <w:fldChar w:fldCharType="begin"/>
            </w:r>
            <w:r>
              <w:instrText> HYPERLINK "http://www.garant.ru/products/ipo/prime/doc/70018446/" \l "666"</w:instrText>
            </w:r>
            <w:r>
              <w:fldChar w:fldCharType="separate"/>
            </w:r>
            <w:r>
              <w:rPr>
                <w:rStyle w:val="Style5"/>
                <w:rFonts w:eastAsia="Times New Roman" w:cs="Times New Roman" w:ascii="Times New Roman" w:hAnsi="Times New Roman"/>
                <w:u w:val="single"/>
              </w:rPr>
              <w:t>**</w:t>
            </w:r>
            <w:r>
              <w:fldChar w:fldCharType="end"/>
            </w:r>
            <w:r>
              <w:rPr>
                <w:rFonts w:eastAsia="Times New Roman" w:cs="Times New Roman" w:ascii="Times New Roman" w:hAnsi="Times New Roman"/>
              </w:rPr>
              <w:t>-12 Количество растений при транспортировке в пучках: не более 5</w:t>
            </w:r>
          </w:p>
        </w:tc>
      </w:tr>
      <w:tr>
        <w:trPr/>
        <w:tc>
          <w:tcPr>
            <w:tcW w:w="24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Крупномерные деревья, пересаженные трижды (3хПер), Крупномерные деревья, пересаженные четыре раза и более</w:t>
            </w:r>
          </w:p>
        </w:tc>
        <w:tc>
          <w:tcPr>
            <w:tcW w:w="394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Кр.д., пересаженные трижды должны выращиваться на одном месте не менее четырех вегетационных периодов после последней пересадки. Высота ствола должна составлять не менее 200 см. Дальнейшее удаление сучьев должно происходить соответственно виду, недопустимы мутовчатое разветвление или раздвоение (исключения: прививка в штамб, шарообразная и плакучая форма кроны). Крона должна регулярно подрезаться. Последняя стрижка должна быть проведена не позднее, чем в предпоследний вегетационный период (исключением может быть, например, Робиния псевдоакация). Стрижка проводится по годичному приросту в установленные сроки. Поставляются с комом, упакованным в мешковину и металлическую сетку или в контейнерах.</w:t>
            </w:r>
          </w:p>
        </w:tc>
        <w:tc>
          <w:tcPr>
            <w:tcW w:w="38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Сортировка осуществляется по обхвату ствола (см): 10-12, 12-14, 14-16, 16-18, 18-20, 20-25 и далее с интервалом 5 см, при обхвате более 50 см - с интервалом 10 см. В зависимости от вида, сорта и размеров могут быть указаны дополнительные данные по общей высоте и ширине кроны. Ширина кроны в см: 60-100, 100-150, 150-200, 200-300, 300-400, 400-600 Общая высота в см: выше 300 см с интервалом 100 см выше 500 см с интервалом 200 см выше 900 см с интервалом 300 см Количество пересадок дается у растений с комом в металлической сетке (4хПер, 5хПер и т.д.)</w:t>
            </w:r>
          </w:p>
        </w:tc>
      </w:tr>
      <w:tr>
        <w:trPr/>
        <w:tc>
          <w:tcPr>
            <w:tcW w:w="24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Аллейные деревья (Кр.д. для озеленения улиц)</w:t>
            </w:r>
          </w:p>
        </w:tc>
        <w:tc>
          <w:tcPr>
            <w:tcW w:w="394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Аллейные деревья - это высокоствольные деревья, у которых обрезаются ветви, выступающие за пределы кроны. У них должен быть прямой ствол, а удаление сучьев проведено до начала последнего вегетационного периода. Высота ствола: при обхвате до 25 см не менее 220 см при обхвате более 25 см не менее 250 см</w:t>
            </w:r>
          </w:p>
        </w:tc>
        <w:tc>
          <w:tcPr>
            <w:tcW w:w="38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Сортировка осуществляется как для Кр.д (3хПер)</w:t>
            </w:r>
          </w:p>
        </w:tc>
      </w:tr>
      <w:tr>
        <w:trPr/>
        <w:tc>
          <w:tcPr>
            <w:tcW w:w="24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Кр.д с шарообразной и плакучей формой кроны</w:t>
            </w:r>
          </w:p>
        </w:tc>
        <w:tc>
          <w:tcPr>
            <w:tcW w:w="394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Так как у них нет прямых приростов ствола в крону, они выращиваются с различной длиной штамба</w:t>
            </w:r>
          </w:p>
        </w:tc>
        <w:tc>
          <w:tcPr>
            <w:tcW w:w="38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Сортировка осуществляется как для Кр.д (3хПер)</w:t>
            </w:r>
          </w:p>
        </w:tc>
      </w:tr>
      <w:tr>
        <w:trPr/>
        <w:tc>
          <w:tcPr>
            <w:tcW w:w="102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Крупномерные деревья (Кр.д.) - это древесные растения с четкой границей между стволом и кроной ** При пограничных значениях интервала посадочный материал следует относить к низшей группе показателей (например: при обхвате ствола 10 см - к интервалу 8-10 см, а не 10-12 см)</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10</w:t>
      </w:r>
    </w:p>
    <w:p>
      <w:pPr>
        <w:pStyle w:val="Style61"/>
        <w:spacing w:before="0" w:after="0"/>
        <w:jc w:val="center"/>
        <w:rPr/>
      </w:pPr>
      <w:r>
        <w:rPr/>
        <w:t>КОМПЛЕКСНОЕ БЛАГОУСТРОЙСТВО ТЕРРИТОРИИ В ЗАВИСИМОСТИ ОТ РЕКРЕАЦИОННОЙ НАГРУЗКИ</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1794"/>
        <w:gridCol w:w="2256"/>
        <w:gridCol w:w="2756"/>
        <w:gridCol w:w="2"/>
        <w:gridCol w:w="3459"/>
      </w:tblGrid>
      <w:tr>
        <w:trPr/>
        <w:tc>
          <w:tcPr>
            <w:tcW w:w="1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Рекреационная нагрузка, чел/га</w:t>
            </w:r>
          </w:p>
        </w:tc>
        <w:tc>
          <w:tcPr>
            <w:tcW w:w="5014"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Режим пользования территорией посетителями</w:t>
            </w:r>
          </w:p>
        </w:tc>
        <w:tc>
          <w:tcPr>
            <w:tcW w:w="34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Мероприятия благоустройства и озеленения</w:t>
            </w:r>
          </w:p>
        </w:tc>
      </w:tr>
      <w:tr>
        <w:trPr/>
        <w:tc>
          <w:tcPr>
            <w:tcW w:w="1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До 5</w:t>
            </w:r>
          </w:p>
        </w:tc>
        <w:tc>
          <w:tcPr>
            <w:tcW w:w="22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Свободный</w:t>
            </w:r>
          </w:p>
        </w:tc>
        <w:tc>
          <w:tcPr>
            <w:tcW w:w="27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Пользование всей территорией</w:t>
            </w:r>
          </w:p>
        </w:tc>
        <w:tc>
          <w:tcPr>
            <w:tcW w:w="346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1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5-25</w:t>
            </w:r>
          </w:p>
        </w:tc>
        <w:tc>
          <w:tcPr>
            <w:tcW w:w="225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Среднерегулируемый</w:t>
            </w:r>
          </w:p>
        </w:tc>
        <w:tc>
          <w:tcPr>
            <w:tcW w:w="275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Движение преимущественно по дорожно-тропиночной сети. Возможно пользование полянами и лужайками при условии специального систематического ухода за ними.</w:t>
            </w:r>
          </w:p>
        </w:tc>
        <w:tc>
          <w:tcPr>
            <w:tcW w:w="346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Организация дорожно-тропиночной сети плотностью 5-8%, прокладка экологических троп</w:t>
            </w:r>
          </w:p>
        </w:tc>
      </w:tr>
      <w:tr>
        <w:trPr/>
        <w:tc>
          <w:tcPr>
            <w:tcW w:w="1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26-50</w:t>
            </w:r>
          </w:p>
        </w:tc>
        <w:tc>
          <w:tcPr>
            <w:tcW w:w="225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275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346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Организация дорожно-тропиночной сети плотностью 12-15%,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trPr/>
        <w:tc>
          <w:tcPr>
            <w:tcW w:w="1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51-100</w:t>
            </w:r>
          </w:p>
        </w:tc>
        <w:tc>
          <w:tcPr>
            <w:tcW w:w="225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Строгорегулируемый</w:t>
            </w:r>
          </w:p>
        </w:tc>
        <w:tc>
          <w:tcPr>
            <w:tcW w:w="275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Движение только по дорожкам и аллеям. Отдых на специально оборудованных площадках, интенсивный уход за насаждениями, в т.ч. их активная защита, вплоть до огораживания.</w:t>
            </w:r>
          </w:p>
        </w:tc>
        <w:tc>
          <w:tcPr>
            <w:tcW w:w="346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Функциональное зонирование территории и организация дорожно-тропиночной сети плотностью не более 20-25%,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trPr/>
        <w:tc>
          <w:tcPr>
            <w:tcW w:w="1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более 100</w:t>
            </w:r>
          </w:p>
        </w:tc>
        <w:tc>
          <w:tcPr>
            <w:tcW w:w="225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275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346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Организация дорожно-тропиночной сети общей плотностью 30-40% (более высокая плотность дорожек ближе к входам и в зонах активного отдыха), уровень благоустройства как для нагрузки 51-100 чел./га, огораживание участков с ценными насаждениями или с растительностью вообще декоративными оградами.</w:t>
            </w:r>
          </w:p>
        </w:tc>
      </w:tr>
      <w:tr>
        <w:trPr/>
        <w:tc>
          <w:tcPr>
            <w:tcW w:w="10267"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Примечание - В случае невозможности предотвращения превышения нагрузок следует предусматривать формирование нового объекта рекреации в зонах доступности  (</w:t>
            </w:r>
            <w:r>
              <w:fldChar w:fldCharType="begin"/>
            </w:r>
            <w:r>
              <w:instrText> HYPERLINK "http://www.garant.ru/products/ipo/prime/doc/70018446/" \l "21011"</w:instrText>
            </w:r>
            <w:r>
              <w:fldChar w:fldCharType="separate"/>
            </w:r>
            <w:r>
              <w:rPr>
                <w:rStyle w:val="Style5"/>
                <w:rFonts w:eastAsia="Times New Roman" w:cs="Times New Roman" w:ascii="Times New Roman" w:hAnsi="Times New Roman"/>
              </w:rPr>
              <w:t>таблица 11</w:t>
            </w:r>
            <w:r>
              <w:fldChar w:fldCharType="end"/>
            </w:r>
            <w:r>
              <w:rPr>
                <w:rFonts w:eastAsia="Times New Roman" w:cs="Times New Roman" w:ascii="Times New Roman" w:hAnsi="Times New Roman"/>
              </w:rPr>
              <w:t>).</w:t>
            </w:r>
          </w:p>
        </w:tc>
      </w:tr>
    </w:tbl>
    <w:p>
      <w:pPr>
        <w:pStyle w:val="Style99"/>
        <w:spacing w:lineRule="auto" w:line="240"/>
        <w:rPr/>
      </w:pPr>
      <w:r>
        <w:rPr>
          <w:rFonts w:eastAsia="Times New Roman" w:cs="Times New Roman" w:ascii="Times New Roman" w:hAnsi="Times New Roman"/>
          <w:b/>
          <w:lang w:eastAsia="ru-RU"/>
        </w:rPr>
        <w:t>ТАБЛИЦА 11</w:t>
      </w:r>
    </w:p>
    <w:p>
      <w:pPr>
        <w:pStyle w:val="Style61"/>
        <w:spacing w:before="0" w:after="0"/>
        <w:jc w:val="center"/>
        <w:rPr/>
      </w:pPr>
      <w:r>
        <w:rPr/>
        <w:t>ОРИЕНТИРОВОЧНЫЙ УРОВЕНЬ ПРЕДЕЛЬНОЙ РЕКРЕАЦИОННОЙ НАГРУЗКИ</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3000"/>
        <w:gridCol w:w="4493"/>
        <w:gridCol w:w="2775"/>
      </w:tblGrid>
      <w:tr>
        <w:trPr/>
        <w:tc>
          <w:tcPr>
            <w:tcW w:w="30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Тип рекреационного объекта туристической деревни</w:t>
            </w:r>
          </w:p>
        </w:tc>
        <w:tc>
          <w:tcPr>
            <w:tcW w:w="44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Предельная рекреационная нагрузка - число единовременных посетителей в среднем по объекту, чел./га</w:t>
            </w:r>
          </w:p>
        </w:tc>
        <w:tc>
          <w:tcPr>
            <w:tcW w:w="2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Радиус обслуживания населения (зона доступности)</w:t>
            </w:r>
          </w:p>
        </w:tc>
      </w:tr>
      <w:tr>
        <w:trPr/>
        <w:tc>
          <w:tcPr>
            <w:tcW w:w="30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Лес</w:t>
            </w:r>
          </w:p>
        </w:tc>
        <w:tc>
          <w:tcPr>
            <w:tcW w:w="44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Не более 5</w:t>
            </w:r>
          </w:p>
        </w:tc>
        <w:tc>
          <w:tcPr>
            <w:tcW w:w="2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30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Лесопарк</w:t>
            </w:r>
          </w:p>
        </w:tc>
        <w:tc>
          <w:tcPr>
            <w:tcW w:w="44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Не более 50</w:t>
            </w:r>
          </w:p>
        </w:tc>
        <w:tc>
          <w:tcPr>
            <w:tcW w:w="2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15-20 мин. трансп. доступн.</w:t>
            </w:r>
          </w:p>
        </w:tc>
      </w:tr>
      <w:tr>
        <w:trPr/>
        <w:tc>
          <w:tcPr>
            <w:tcW w:w="30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Сад</w:t>
            </w:r>
          </w:p>
        </w:tc>
        <w:tc>
          <w:tcPr>
            <w:tcW w:w="44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Не более 100</w:t>
            </w:r>
          </w:p>
        </w:tc>
        <w:tc>
          <w:tcPr>
            <w:tcW w:w="2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400-600 м</w:t>
            </w:r>
          </w:p>
        </w:tc>
      </w:tr>
      <w:tr>
        <w:trPr/>
        <w:tc>
          <w:tcPr>
            <w:tcW w:w="30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Парк (многофункцион)</w:t>
            </w:r>
          </w:p>
        </w:tc>
        <w:tc>
          <w:tcPr>
            <w:tcW w:w="44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Не более 300</w:t>
            </w:r>
          </w:p>
        </w:tc>
        <w:tc>
          <w:tcPr>
            <w:tcW w:w="2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1,2-1,5 км</w:t>
            </w:r>
          </w:p>
        </w:tc>
      </w:tr>
      <w:tr>
        <w:trPr/>
        <w:tc>
          <w:tcPr>
            <w:tcW w:w="30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Сквер, бульвар</w:t>
            </w:r>
          </w:p>
        </w:tc>
        <w:tc>
          <w:tcPr>
            <w:tcW w:w="44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 и более</w:t>
            </w:r>
          </w:p>
        </w:tc>
        <w:tc>
          <w:tcPr>
            <w:tcW w:w="2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300-400 м</w:t>
            </w:r>
          </w:p>
        </w:tc>
      </w:tr>
      <w:tr>
        <w:trPr/>
        <w:tc>
          <w:tcPr>
            <w:tcW w:w="102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Примечания: 1. На территории объекта рекреации могут быть выделены зоны с различным уровнем предельной рекреационной нагрузки. 2. Фактическая рекреационная нагрузка определяется замерами, ожидаемая - рассчитывается по формуле: R=Ni/Si, где R - рекреационная нагрузка, Ni - количество посетителей объектов рекреации, Si - площадь рекреационной территории. Количество посетителей, одновременно находящихся на территории рекреации, рекомендуется принимать 10-15% от численности населения, в зоне доступности объекта рекреации.</w:t>
            </w:r>
          </w:p>
        </w:tc>
      </w:tr>
    </w:tbl>
    <w:p>
      <w:pPr>
        <w:pStyle w:val="Normal"/>
        <w:rPr>
          <w:rFonts w:ascii="Times New Roman" w:hAnsi="Times New Roman" w:eastAsia="Times New Roman" w:cs="Times New Roman"/>
          <w:b/>
          <w:b/>
        </w:rPr>
      </w:pPr>
      <w:r>
        <w:rPr>
          <w:rFonts w:eastAsia="Times New Roman" w:cs="Times New Roman" w:ascii="Times New Roman" w:hAnsi="Times New Roman"/>
          <w:b/>
        </w:rPr>
      </w:r>
    </w:p>
    <w:p>
      <w:pPr>
        <w:pStyle w:val="Style99"/>
        <w:spacing w:lineRule="auto" w:line="240"/>
        <w:ind w:hanging="0"/>
        <w:rPr/>
      </w:pPr>
      <w:r>
        <w:rPr>
          <w:rFonts w:eastAsia="Times New Roman" w:cs="Times New Roman" w:ascii="Times New Roman" w:hAnsi="Times New Roman"/>
          <w:b/>
          <w:lang w:eastAsia="ru-RU"/>
        </w:rPr>
        <w:t>ТАБЛИЦА 12</w:t>
      </w:r>
    </w:p>
    <w:p>
      <w:pPr>
        <w:pStyle w:val="Style61"/>
        <w:spacing w:before="0" w:after="0"/>
        <w:jc w:val="center"/>
        <w:rPr/>
      </w:pPr>
      <w:r>
        <w:rPr/>
        <w:t>ЗАВИСИМОСТЬ УКЛОНА ПАНДУСА ОТ ВЫСОТЫ ПОДЪЕМА</w:t>
      </w:r>
    </w:p>
    <w:tbl>
      <w:tblPr>
        <w:tblW w:w="4847"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3137"/>
        <w:gridCol w:w="1709"/>
      </w:tblGrid>
      <w:tr>
        <w:trPr/>
        <w:tc>
          <w:tcPr>
            <w:tcW w:w="4846"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В миллиметрах</w:t>
            </w:r>
          </w:p>
        </w:tc>
      </w:tr>
      <w:tr>
        <w:trPr/>
        <w:tc>
          <w:tcPr>
            <w:tcW w:w="3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Уклон пандуса (соотношение)</w:t>
            </w:r>
          </w:p>
        </w:tc>
        <w:tc>
          <w:tcPr>
            <w:tcW w:w="17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Высота подъема</w:t>
            </w:r>
          </w:p>
        </w:tc>
      </w:tr>
      <w:tr>
        <w:trPr/>
        <w:tc>
          <w:tcPr>
            <w:tcW w:w="3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От 1:8 до 1:10</w:t>
            </w:r>
          </w:p>
        </w:tc>
        <w:tc>
          <w:tcPr>
            <w:tcW w:w="17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75</w:t>
            </w:r>
          </w:p>
        </w:tc>
      </w:tr>
      <w:tr>
        <w:trPr/>
        <w:tc>
          <w:tcPr>
            <w:tcW w:w="3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От 1:10,1 до 1:12</w:t>
            </w:r>
          </w:p>
        </w:tc>
        <w:tc>
          <w:tcPr>
            <w:tcW w:w="17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150</w:t>
            </w:r>
          </w:p>
        </w:tc>
      </w:tr>
      <w:tr>
        <w:trPr/>
        <w:tc>
          <w:tcPr>
            <w:tcW w:w="3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От 1:12,1 до 1:15</w:t>
            </w:r>
          </w:p>
        </w:tc>
        <w:tc>
          <w:tcPr>
            <w:tcW w:w="17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600</w:t>
            </w:r>
          </w:p>
        </w:tc>
      </w:tr>
      <w:tr>
        <w:trPr/>
        <w:tc>
          <w:tcPr>
            <w:tcW w:w="313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От 1:15,1 до 1:20</w:t>
            </w:r>
          </w:p>
        </w:tc>
        <w:tc>
          <w:tcPr>
            <w:tcW w:w="17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760</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61"/>
        <w:jc w:val="center"/>
        <w:rPr/>
      </w:pPr>
      <w:r>
        <w:rPr/>
        <w:t>ИГРОВОЕ И СПОРТИВНОЕ ОБОРУДОВАНИЕ</w:t>
      </w:r>
    </w:p>
    <w:p>
      <w:pPr>
        <w:pStyle w:val="Style61"/>
        <w:jc w:val="center"/>
        <w:rPr/>
      </w:pPr>
      <w:r>
        <w:rPr/>
      </w:r>
    </w:p>
    <w:p>
      <w:pPr>
        <w:pStyle w:val="Style99"/>
        <w:spacing w:lineRule="auto" w:line="240"/>
        <w:rPr/>
      </w:pPr>
      <w:r>
        <w:rPr>
          <w:rFonts w:eastAsia="Times New Roman" w:cs="Times New Roman" w:ascii="Times New Roman" w:hAnsi="Times New Roman"/>
          <w:b/>
          <w:lang w:eastAsia="ru-RU"/>
        </w:rPr>
        <w:t>ТАБЛИЦА 13</w:t>
      </w:r>
    </w:p>
    <w:p>
      <w:pPr>
        <w:pStyle w:val="Style61"/>
        <w:spacing w:before="0" w:after="0"/>
        <w:jc w:val="center"/>
        <w:rPr/>
      </w:pPr>
      <w:r>
        <w:rPr/>
        <w:t>СОСТАВ ИГРОВОГО И СПОРТИВНОГО ОБОРУДОВАНИЯ В ЗАВИСИМОСТИ ОТ ВОЗРАСТА ДЕТЕЙ</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2056"/>
        <w:gridCol w:w="3553"/>
        <w:gridCol w:w="4659"/>
      </w:tblGrid>
      <w:tr>
        <w:trPr/>
        <w:tc>
          <w:tcPr>
            <w:tcW w:w="2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Возраст</w:t>
            </w:r>
          </w:p>
        </w:tc>
        <w:tc>
          <w:tcPr>
            <w:tcW w:w="3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Назначение оборудования</w:t>
            </w:r>
          </w:p>
        </w:tc>
        <w:tc>
          <w:tcPr>
            <w:tcW w:w="4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Рекомендуемое игровое и физкультурное оборудование</w:t>
            </w:r>
          </w:p>
        </w:tc>
      </w:tr>
      <w:tr>
        <w:trPr/>
        <w:tc>
          <w:tcPr>
            <w:tcW w:w="205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Дети преддошкольного возраста (1-3 г)</w:t>
            </w:r>
          </w:p>
        </w:tc>
        <w:tc>
          <w:tcPr>
            <w:tcW w:w="3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 Для тихих игр, тренировки усидчивости, терпения, развития фантазии:</w:t>
            </w:r>
          </w:p>
        </w:tc>
        <w:tc>
          <w:tcPr>
            <w:tcW w:w="4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песочницы</w:t>
            </w:r>
          </w:p>
        </w:tc>
      </w:tr>
      <w:tr>
        <w:trPr/>
        <w:tc>
          <w:tcPr>
            <w:tcW w:w="205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3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 Для тренировки лазания, ходьбы, перешагивания, подлезания, равновесия:</w:t>
            </w:r>
          </w:p>
        </w:tc>
        <w:tc>
          <w:tcPr>
            <w:tcW w:w="4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домики, пирамиды, гимнастические стенки, бумы, бревна, горки - кубы деревянные 20x40x15 см; - доски шириной 15, 20, 25 см, длиной 150, 200 и 250 см; доска деревянная - один конец приподнят на высоту 10-15 см; - горка с поручнями, ступеньками и центральной площадкой, длина 240 см, высота 48 см (в центральной части), ширина ступеньки - 70 см; - лестница-стремянка, высота 100 или 150 см, расстояние между перекладинами - 10 и 15 см.</w:t>
            </w:r>
          </w:p>
        </w:tc>
      </w:tr>
      <w:tr>
        <w:trPr/>
        <w:tc>
          <w:tcPr>
            <w:tcW w:w="205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3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 Для тренировки вестибулярного аппарата, укрепления мышечной системы (мышц спины, живота и ног), совершенствования чувства равновесия, ритма, ориентировки в пространстве:</w:t>
            </w:r>
          </w:p>
        </w:tc>
        <w:tc>
          <w:tcPr>
            <w:tcW w:w="4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качели и качалки.</w:t>
            </w:r>
          </w:p>
        </w:tc>
      </w:tr>
      <w:tr>
        <w:trPr/>
        <w:tc>
          <w:tcPr>
            <w:tcW w:w="205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Дети дошкольного возраста (3-7 лет)</w:t>
            </w:r>
          </w:p>
        </w:tc>
        <w:tc>
          <w:tcPr>
            <w:tcW w:w="3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 Для обучения и совершенствования лазания:</w:t>
            </w:r>
          </w:p>
        </w:tc>
        <w:tc>
          <w:tcPr>
            <w:tcW w:w="4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пирамиды с вертикальными и горизонтальными перекладинами; - лестницы различной конфигурации, со встроенными обручами, полусферы; - доска деревянная на высоте 10-15 см (устанавливается на специальных подставках).</w:t>
            </w:r>
          </w:p>
        </w:tc>
      </w:tr>
      <w:tr>
        <w:trPr/>
        <w:tc>
          <w:tcPr>
            <w:tcW w:w="205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3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 Для обучения равновесию, перешагиванию, перепрыгиванию, спрыгиванию:</w:t>
            </w:r>
          </w:p>
        </w:tc>
        <w:tc>
          <w:tcPr>
            <w:tcW w:w="4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бревно со стесанным верхом, прочно закрепленное, лежащее на земле, длина 2,5-3,5 м, ширина 20-30 см; - бум "Крокодил", длина 2,5 м, ширина 20 см, высота 20 см; - гимнастическое бревно, длина горизонтальной части 3,5 м, наклонной - 1,2 м, горизонтальной части 30 или 50 см, диаметр бревна - 27 см; - гимнастическая скамейка, длина 3 м, ширина 20 см, толщина 3 см, высота 20 см.</w:t>
            </w:r>
          </w:p>
        </w:tc>
      </w:tr>
      <w:tr>
        <w:trPr/>
        <w:tc>
          <w:tcPr>
            <w:tcW w:w="205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3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 Для обучения вхождению, лазанью, движению на четвереньках, скатыванию:</w:t>
            </w:r>
          </w:p>
        </w:tc>
        <w:tc>
          <w:tcPr>
            <w:tcW w:w="4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горка с поручнями, длина 2 м, высота 60 см; - горка с лесенкой и скатом, длина 240, высота 80, длина лесенки и ската - 90 см, ширина лесенки и ската - 70 см</w:t>
            </w:r>
          </w:p>
        </w:tc>
      </w:tr>
      <w:tr>
        <w:trPr/>
        <w:tc>
          <w:tcPr>
            <w:tcW w:w="205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3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 Для обучения развитию силы, гибкости, координации движений:</w:t>
            </w:r>
          </w:p>
        </w:tc>
        <w:tc>
          <w:tcPr>
            <w:tcW w:w="4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гимнастическая стенка, высота 3 м, ширина пролетов не менее 1 м, диаметр перекладины - 22 мм, расстояние между перекладинами - 25 см; - гимнастические столбики</w:t>
            </w:r>
          </w:p>
        </w:tc>
      </w:tr>
      <w:tr>
        <w:trPr/>
        <w:tc>
          <w:tcPr>
            <w:tcW w:w="205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3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 Для развития глазомера, точности движений, ловкости, для обучения метания в цель:</w:t>
            </w:r>
          </w:p>
        </w:tc>
        <w:tc>
          <w:tcPr>
            <w:tcW w:w="4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стойка с обручами для метания в цель, высота 120-130 см, диаметр обруча 40-50 см; - оборудование для метания в виде "цветка", "петуха", центр мишени расположен на высоте 120 см (мл. дошк.), - 150-200 см (ст. дошк); - кольцебросы - доска с укрепленными колышками высотой 15-20 см, кольцебросы могут быть расположены горизонтально и наклонно; - мишени на щитах из досок в виде четырех концентрических кругов диаметром 20, 40, 60, 80 см, центр мишени на высоте 110-120 см от уровня пола или площадки, круги красятся в красный (центр), салатный, желтый и голубой; - баскетбольные щиты, крепятся на двух деревянных или металлических стойках так, чтобы кольцо находилось на уровне 2 м от пола или поверхности площадки.</w:t>
            </w:r>
          </w:p>
        </w:tc>
      </w:tr>
      <w:tr>
        <w:trPr/>
        <w:tc>
          <w:tcPr>
            <w:tcW w:w="2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Дети школьного возраста</w:t>
            </w:r>
          </w:p>
        </w:tc>
        <w:tc>
          <w:tcPr>
            <w:tcW w:w="3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Для общего физического развития:</w:t>
            </w:r>
          </w:p>
        </w:tc>
        <w:tc>
          <w:tcPr>
            <w:tcW w:w="4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гимнастическая стенка высотой не менее 3 м, количество пролетов 4-6; - разновысокие перекладины, перекладина-эспандер для выполнения силовых упражнений в висе; - "рукоход" различной конфигурации для обучения передвижению разными способами, висам, подтягиванию; - спортивно-гимнастические комплексы - 5-6 горизонтальных перекладин, укрепленных на разной высоте, к перекладинам могут прикрепляться спортивные снаряды: кольца, трапеции, качели, шесты и др.; - сочлененные перекладины разной высоты: 1,5-2,2-3 м, могут располагаться по одной линии или в форме букв "Г", "Т" или змейкой.</w:t>
            </w:r>
          </w:p>
        </w:tc>
      </w:tr>
      <w:tr>
        <w:trPr/>
        <w:tc>
          <w:tcPr>
            <w:tcW w:w="20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Дети старшего школьного возраста</w:t>
            </w:r>
          </w:p>
        </w:tc>
        <w:tc>
          <w:tcPr>
            <w:tcW w:w="3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Для улучшения мышечной силы, телосложения и общего физического развития</w:t>
            </w:r>
          </w:p>
        </w:tc>
        <w:tc>
          <w:tcPr>
            <w:tcW w:w="4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спортивные комплексы; - спортивно-игровые комплексы (микроскалодромы, велодромы и т.п.).</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14</w:t>
      </w:r>
    </w:p>
    <w:p>
      <w:pPr>
        <w:pStyle w:val="Style61"/>
        <w:spacing w:before="0" w:after="0"/>
        <w:jc w:val="center"/>
        <w:rPr/>
      </w:pPr>
      <w:r>
        <w:rPr/>
        <w:t>ТРЕБОВАНИЯ К ИГРОВОМУ ОБОРУДОВАНИЮ</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1736"/>
        <w:gridCol w:w="8531"/>
      </w:tblGrid>
      <w:tr>
        <w:trPr/>
        <w:tc>
          <w:tcPr>
            <w:tcW w:w="17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Игровое оборудование</w:t>
            </w:r>
          </w:p>
        </w:tc>
        <w:tc>
          <w:tcPr>
            <w:tcW w:w="85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Требования</w:t>
            </w:r>
          </w:p>
        </w:tc>
      </w:tr>
      <w:tr>
        <w:trPr/>
        <w:tc>
          <w:tcPr>
            <w:tcW w:w="17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Качели</w:t>
            </w:r>
          </w:p>
        </w:tc>
        <w:tc>
          <w:tcPr>
            <w:tcW w:w="85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Высота от уровня земли до сидения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сидение для маленьких детей (колыбель) и плоское сидение для более старших детей.</w:t>
            </w:r>
          </w:p>
        </w:tc>
      </w:tr>
      <w:tr>
        <w:trPr/>
        <w:tc>
          <w:tcPr>
            <w:tcW w:w="17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Качалки</w:t>
            </w:r>
          </w:p>
        </w:tc>
        <w:tc>
          <w:tcPr>
            <w:tcW w:w="85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Высота от земли до сидения в состоянии равновесия должна быть 550-750 мм. Максимальный наклон сидения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trPr/>
        <w:tc>
          <w:tcPr>
            <w:tcW w:w="17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Карусели</w:t>
            </w:r>
          </w:p>
        </w:tc>
        <w:tc>
          <w:tcPr>
            <w:tcW w:w="85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trPr/>
        <w:tc>
          <w:tcPr>
            <w:tcW w:w="17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Горки</w:t>
            </w:r>
          </w:p>
        </w:tc>
        <w:tc>
          <w:tcPr>
            <w:tcW w:w="85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 - тоннель должна иметь минимальную высоту и ширину 750 мм.</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15</w:t>
      </w:r>
    </w:p>
    <w:p>
      <w:pPr>
        <w:pStyle w:val="Style61"/>
        <w:spacing w:before="0" w:after="0"/>
        <w:jc w:val="center"/>
        <w:rPr/>
      </w:pPr>
      <w:r>
        <w:rPr/>
        <w:t>МИНИМАЛЬНЫЕ РАССТОЯНИЯ БЕЗОПАСНОСТИ ПРИ РАЗМЕЩЕНИИ ИГРОВОГО ОБОРУДОВАНИЯ</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2060"/>
        <w:gridCol w:w="8207"/>
      </w:tblGrid>
      <w:tr>
        <w:trPr/>
        <w:tc>
          <w:tcPr>
            <w:tcW w:w="206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Игровое оборудование</w:t>
            </w:r>
          </w:p>
        </w:tc>
        <w:tc>
          <w:tcPr>
            <w:tcW w:w="82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Минимальные расстояния</w:t>
            </w:r>
          </w:p>
        </w:tc>
      </w:tr>
      <w:tr>
        <w:trPr/>
        <w:tc>
          <w:tcPr>
            <w:tcW w:w="206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Качели</w:t>
            </w:r>
          </w:p>
        </w:tc>
        <w:tc>
          <w:tcPr>
            <w:tcW w:w="82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не менее 1,5 м в стороны от боковых конструкций и не менее 2,0 м вперед (назад) от крайних точек качели в состоянии наклона</w:t>
            </w:r>
          </w:p>
        </w:tc>
      </w:tr>
      <w:tr>
        <w:trPr/>
        <w:tc>
          <w:tcPr>
            <w:tcW w:w="206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Качалки</w:t>
            </w:r>
          </w:p>
        </w:tc>
        <w:tc>
          <w:tcPr>
            <w:tcW w:w="82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не менее 1,0 м в стороны от боковых конструкций и не менее 1,5 м вперед от крайних точек качалки в состоянии наклона</w:t>
            </w:r>
          </w:p>
        </w:tc>
      </w:tr>
      <w:tr>
        <w:trPr/>
        <w:tc>
          <w:tcPr>
            <w:tcW w:w="206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Карусели</w:t>
            </w:r>
          </w:p>
        </w:tc>
        <w:tc>
          <w:tcPr>
            <w:tcW w:w="82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не менее 2 м в стороны от боковых конструкций и не менее 3 м вверх от нижней вращающейся поверхности карусели</w:t>
            </w:r>
          </w:p>
        </w:tc>
      </w:tr>
      <w:tr>
        <w:trPr/>
        <w:tc>
          <w:tcPr>
            <w:tcW w:w="206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Горки</w:t>
            </w:r>
          </w:p>
        </w:tc>
        <w:tc>
          <w:tcPr>
            <w:tcW w:w="82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не менее 1 м от боковых сторон и 2 м вперед от нижнего края ската горки.</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61"/>
        <w:jc w:val="center"/>
        <w:rPr/>
      </w:pPr>
      <w:r>
        <w:rPr/>
        <w:t>ПОСАДКА ДЕРЕВЬЕВ</w:t>
      </w:r>
    </w:p>
    <w:p>
      <w:pPr>
        <w:pStyle w:val="Style61"/>
        <w:jc w:val="center"/>
        <w:rPr/>
      </w:pPr>
      <w:r>
        <w:rPr/>
      </w:r>
    </w:p>
    <w:p>
      <w:pPr>
        <w:pStyle w:val="Style99"/>
        <w:spacing w:lineRule="auto" w:line="240"/>
        <w:rPr/>
      </w:pPr>
      <w:r>
        <w:rPr>
          <w:rFonts w:eastAsia="Times New Roman" w:cs="Times New Roman" w:ascii="Times New Roman" w:hAnsi="Times New Roman"/>
          <w:b/>
          <w:lang w:eastAsia="ru-RU"/>
        </w:rPr>
        <w:t>ТАБЛИЦА 16</w:t>
      </w:r>
    </w:p>
    <w:p>
      <w:pPr>
        <w:pStyle w:val="Style61"/>
        <w:spacing w:before="0" w:after="0"/>
        <w:jc w:val="center"/>
        <w:rPr/>
      </w:pPr>
      <w:r>
        <w:rPr/>
        <w:t>РЕКОМЕНДУЕМЫЕ РАССТОЯНИЯ ПОСАДКИ ДЕРЕВЬЕВ В ЗАВИСИМОСТИ ОТ КАТЕГОРИИ УЛИЦЫ</w:t>
      </w:r>
    </w:p>
    <w:tbl>
      <w:tblPr>
        <w:tblW w:w="9236"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5077"/>
        <w:gridCol w:w="4158"/>
      </w:tblGrid>
      <w:tr>
        <w:trPr/>
        <w:tc>
          <w:tcPr>
            <w:tcW w:w="923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В метрах</w:t>
            </w:r>
          </w:p>
        </w:tc>
      </w:tr>
      <w:tr>
        <w:trPr/>
        <w:tc>
          <w:tcPr>
            <w:tcW w:w="50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Категория улиц и дорог</w:t>
            </w:r>
          </w:p>
        </w:tc>
        <w:tc>
          <w:tcPr>
            <w:tcW w:w="41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Расстояние от проезжей части до ствола</w:t>
            </w:r>
          </w:p>
        </w:tc>
      </w:tr>
      <w:tr>
        <w:trPr/>
        <w:tc>
          <w:tcPr>
            <w:tcW w:w="50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Магистральные улицы общегородского значения</w:t>
            </w:r>
          </w:p>
        </w:tc>
        <w:tc>
          <w:tcPr>
            <w:tcW w:w="41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5-7</w:t>
            </w:r>
          </w:p>
        </w:tc>
      </w:tr>
      <w:tr>
        <w:trPr/>
        <w:tc>
          <w:tcPr>
            <w:tcW w:w="50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Магистральные улицы районного значения</w:t>
            </w:r>
          </w:p>
        </w:tc>
        <w:tc>
          <w:tcPr>
            <w:tcW w:w="41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3-4</w:t>
            </w:r>
          </w:p>
        </w:tc>
      </w:tr>
      <w:tr>
        <w:trPr/>
        <w:tc>
          <w:tcPr>
            <w:tcW w:w="50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Улицы и дороги местного значения</w:t>
            </w:r>
          </w:p>
        </w:tc>
        <w:tc>
          <w:tcPr>
            <w:tcW w:w="41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2-3</w:t>
            </w:r>
          </w:p>
        </w:tc>
      </w:tr>
      <w:tr>
        <w:trPr/>
        <w:tc>
          <w:tcPr>
            <w:tcW w:w="50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Проезды</w:t>
            </w:r>
          </w:p>
        </w:tc>
        <w:tc>
          <w:tcPr>
            <w:tcW w:w="41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1,5-2</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r>
        <w:br w:type="page"/>
      </w:r>
    </w:p>
    <w:p>
      <w:pPr>
        <w:pStyle w:val="Style99"/>
        <w:spacing w:lineRule="auto" w:line="240"/>
        <w:rPr/>
      </w:pPr>
      <w:r>
        <w:rPr>
          <w:rFonts w:eastAsia="Times New Roman" w:cs="Times New Roman" w:ascii="Times New Roman" w:hAnsi="Times New Roman"/>
          <w:lang w:eastAsia="ru-RU"/>
        </w:rPr>
        <w:t>Приложение 3</w:t>
      </w:r>
    </w:p>
    <w:p>
      <w:pPr>
        <w:pStyle w:val="Style99"/>
        <w:spacing w:lineRule="auto" w:line="240"/>
        <w:rPr/>
      </w:pPr>
      <w:r>
        <w:rPr>
          <w:rFonts w:eastAsia="Times New Roman" w:cs="Times New Roman" w:ascii="Times New Roman" w:hAnsi="Times New Roman"/>
          <w:lang w:eastAsia="ru-RU"/>
        </w:rPr>
        <w:t>к части 4 Правил использования земельных участков</w:t>
      </w:r>
    </w:p>
    <w:p>
      <w:pPr>
        <w:pStyle w:val="Style99"/>
        <w:spacing w:lineRule="auto" w:line="240"/>
        <w:rPr/>
      </w:pPr>
      <w:r>
        <w:rPr>
          <w:rFonts w:eastAsia="Times New Roman" w:cs="Times New Roman" w:ascii="Times New Roman" w:hAnsi="Times New Roman"/>
          <w:lang w:eastAsia="ru-RU"/>
        </w:rPr>
        <w:t>в границах Всесезонного туристско-рекреационного</w:t>
      </w:r>
    </w:p>
    <w:p>
      <w:pPr>
        <w:pStyle w:val="Style99"/>
        <w:spacing w:lineRule="auto" w:line="240"/>
        <w:rPr/>
      </w:pPr>
      <w:r>
        <w:rPr>
          <w:rFonts w:eastAsia="Times New Roman" w:cs="Times New Roman" w:ascii="Times New Roman" w:hAnsi="Times New Roman"/>
          <w:lang w:eastAsia="ru-RU"/>
        </w:rPr>
        <w:t>комплекса «Архыз»</w:t>
      </w:r>
    </w:p>
    <w:p>
      <w:pPr>
        <w:pStyle w:val="Style61"/>
        <w:jc w:val="center"/>
        <w:rPr/>
      </w:pPr>
      <w:r>
        <w:rPr/>
      </w:r>
    </w:p>
    <w:p>
      <w:pPr>
        <w:pStyle w:val="Style61"/>
        <w:jc w:val="center"/>
        <w:rPr/>
      </w:pPr>
      <w:r>
        <w:rPr/>
        <w:t>ПРОПУСКНАЯ СПОСОБНОСТЬ ПЕШЕХОДНЫХ КОММУНИКАЦИЙ</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6423"/>
        <w:gridCol w:w="3844"/>
      </w:tblGrid>
      <w:tr>
        <w:trPr/>
        <w:tc>
          <w:tcPr>
            <w:tcW w:w="10267"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Человек в час</w:t>
            </w:r>
          </w:p>
        </w:tc>
      </w:tr>
      <w:tr>
        <w:trPr/>
        <w:tc>
          <w:tcPr>
            <w:tcW w:w="64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Элементы пешеходных коммуникаций</w:t>
            </w:r>
          </w:p>
        </w:tc>
        <w:tc>
          <w:tcPr>
            <w:tcW w:w="3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Пропускная способность одной полосы движения</w:t>
            </w:r>
          </w:p>
        </w:tc>
      </w:tr>
      <w:tr>
        <w:trPr/>
        <w:tc>
          <w:tcPr>
            <w:tcW w:w="64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Тротуары, расположенные вдоль красной линии улиц с развитой торговой сетью</w:t>
            </w:r>
          </w:p>
        </w:tc>
        <w:tc>
          <w:tcPr>
            <w:tcW w:w="3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700</w:t>
            </w:r>
          </w:p>
        </w:tc>
      </w:tr>
      <w:tr>
        <w:trPr/>
        <w:tc>
          <w:tcPr>
            <w:tcW w:w="64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Тротуары, расположенные вдоль красной линии улиц с незначительной торговой сетью</w:t>
            </w:r>
          </w:p>
        </w:tc>
        <w:tc>
          <w:tcPr>
            <w:tcW w:w="3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800</w:t>
            </w:r>
          </w:p>
        </w:tc>
      </w:tr>
      <w:tr>
        <w:trPr/>
        <w:tc>
          <w:tcPr>
            <w:tcW w:w="64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Тротуары в пределах зеленых насаждений улиц и дорог (бульвары)</w:t>
            </w:r>
          </w:p>
        </w:tc>
        <w:tc>
          <w:tcPr>
            <w:tcW w:w="3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800-1000</w:t>
            </w:r>
          </w:p>
        </w:tc>
      </w:tr>
      <w:tr>
        <w:trPr/>
        <w:tc>
          <w:tcPr>
            <w:tcW w:w="64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Пешеходные дороги (прогулочные)</w:t>
            </w:r>
          </w:p>
        </w:tc>
        <w:tc>
          <w:tcPr>
            <w:tcW w:w="3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600-700</w:t>
            </w:r>
          </w:p>
        </w:tc>
      </w:tr>
      <w:tr>
        <w:trPr/>
        <w:tc>
          <w:tcPr>
            <w:tcW w:w="64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Пешеходные переходы через проезжую часть (наземные)</w:t>
            </w:r>
          </w:p>
        </w:tc>
        <w:tc>
          <w:tcPr>
            <w:tcW w:w="3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1200-1500</w:t>
            </w:r>
          </w:p>
        </w:tc>
      </w:tr>
      <w:tr>
        <w:trPr/>
        <w:tc>
          <w:tcPr>
            <w:tcW w:w="64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Лестница</w:t>
            </w:r>
          </w:p>
        </w:tc>
        <w:tc>
          <w:tcPr>
            <w:tcW w:w="3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500-600</w:t>
            </w:r>
          </w:p>
        </w:tc>
      </w:tr>
      <w:tr>
        <w:trPr/>
        <w:tc>
          <w:tcPr>
            <w:tcW w:w="64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Пандус (уклон 1:10)</w:t>
            </w:r>
          </w:p>
        </w:tc>
        <w:tc>
          <w:tcPr>
            <w:tcW w:w="3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700</w:t>
            </w:r>
          </w:p>
        </w:tc>
      </w:tr>
      <w:tr>
        <w:trPr/>
        <w:tc>
          <w:tcPr>
            <w:tcW w:w="10267"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Предельная пропускная способность, принимаемая при определении максимальных нагрузок - 1500 чел./час. Примечания Ширина одной полосы пешеходного движения - 0,75 м.</w:t>
            </w:r>
          </w:p>
        </w:tc>
      </w:tr>
    </w:tbl>
    <w:p>
      <w:pPr>
        <w:pStyle w:val="Normal"/>
        <w:spacing w:before="0" w:after="238"/>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r>
        <w:br w:type="page"/>
      </w:r>
    </w:p>
    <w:p>
      <w:pPr>
        <w:pStyle w:val="Style99"/>
        <w:rPr/>
      </w:pPr>
      <w:r>
        <w:rPr>
          <w:rFonts w:eastAsia="Times New Roman" w:cs="Times New Roman" w:ascii="Times New Roman" w:hAnsi="Times New Roman"/>
          <w:lang w:eastAsia="ru-RU"/>
        </w:rPr>
        <w:t>Приложение 4</w:t>
      </w:r>
    </w:p>
    <w:p>
      <w:pPr>
        <w:pStyle w:val="Style99"/>
        <w:spacing w:lineRule="auto" w:line="240"/>
        <w:rPr/>
      </w:pPr>
      <w:r>
        <w:rPr>
          <w:rFonts w:eastAsia="Times New Roman" w:cs="Times New Roman" w:ascii="Times New Roman" w:hAnsi="Times New Roman"/>
          <w:lang w:eastAsia="ru-RU"/>
        </w:rPr>
        <w:t>к части 4 Правил использования земельных участков</w:t>
      </w:r>
    </w:p>
    <w:p>
      <w:pPr>
        <w:pStyle w:val="Style99"/>
        <w:spacing w:lineRule="auto" w:line="240"/>
        <w:rPr/>
      </w:pPr>
      <w:r>
        <w:rPr>
          <w:rFonts w:eastAsia="Times New Roman" w:cs="Times New Roman" w:ascii="Times New Roman" w:hAnsi="Times New Roman"/>
          <w:lang w:eastAsia="ru-RU"/>
        </w:rPr>
        <w:t>в границах Всесезонного туристско-рекреационного</w:t>
      </w:r>
    </w:p>
    <w:p>
      <w:pPr>
        <w:pStyle w:val="Style99"/>
        <w:spacing w:lineRule="auto" w:line="240"/>
        <w:rPr/>
      </w:pPr>
      <w:r>
        <w:rPr>
          <w:rFonts w:eastAsia="Times New Roman" w:cs="Times New Roman" w:ascii="Times New Roman" w:hAnsi="Times New Roman"/>
          <w:lang w:eastAsia="ru-RU"/>
        </w:rPr>
        <w:t>комплекса «Архыз»</w:t>
      </w:r>
    </w:p>
    <w:p>
      <w:pPr>
        <w:pStyle w:val="Style61"/>
        <w:spacing w:before="0" w:after="0"/>
        <w:jc w:val="center"/>
        <w:rPr/>
      </w:pPr>
      <w:r>
        <w:rPr/>
        <w:t>ПОЧВЕННЫЙ ПОКРОВ</w:t>
      </w:r>
    </w:p>
    <w:p>
      <w:pPr>
        <w:pStyle w:val="Style61"/>
        <w:spacing w:before="0" w:after="0"/>
        <w:jc w:val="center"/>
        <w:rPr/>
      </w:pPr>
      <w:r>
        <w:rPr/>
      </w:r>
    </w:p>
    <w:p>
      <w:pPr>
        <w:pStyle w:val="Style61"/>
        <w:spacing w:before="0" w:after="0"/>
        <w:jc w:val="center"/>
        <w:rPr/>
      </w:pPr>
      <w:r>
        <w:rPr/>
        <w:t>КЛАССИФИКАЦИЯ ПОЧВ ВТРК «АРХЫЗ»</w:t>
      </w:r>
    </w:p>
    <w:p>
      <w:pPr>
        <w:pStyle w:val="Style61"/>
        <w:ind w:firstLine="567"/>
        <w:jc w:val="both"/>
        <w:rPr/>
      </w:pPr>
      <w:r>
        <w:rPr/>
      </w:r>
    </w:p>
    <w:p>
      <w:pPr>
        <w:pStyle w:val="Normal"/>
        <w:ind w:firstLine="567"/>
        <w:jc w:val="both"/>
        <w:rPr/>
      </w:pPr>
      <w:r>
        <w:rPr>
          <w:rFonts w:eastAsia="Times New Roman" w:cs="Times New Roman" w:ascii="Times New Roman" w:hAnsi="Times New Roman"/>
        </w:rPr>
        <w:t>1. Почвенный покров в условиях ВТРК «Архыз» имеет различный генезис. В зависимости от типа почвы к ней применяются различные приемы ее окультуривания перед использованием ее в системе озеленения.</w:t>
      </w:r>
    </w:p>
    <w:p>
      <w:pPr>
        <w:pStyle w:val="Normal"/>
        <w:ind w:firstLine="567"/>
        <w:jc w:val="both"/>
        <w:rPr/>
      </w:pPr>
      <w:r>
        <w:rPr>
          <w:rFonts w:eastAsia="Times New Roman" w:cs="Times New Roman" w:ascii="Times New Roman" w:hAnsi="Times New Roman"/>
        </w:rPr>
        <w:t>1.1. Естественные почвы - почвы сформировавшиеся в соответствующих природных условиях и имеющие полный профиль (все генетические горизонты соответствующие условиям их формирования).</w:t>
      </w:r>
    </w:p>
    <w:p>
      <w:pPr>
        <w:pStyle w:val="Normal"/>
        <w:ind w:firstLine="567"/>
        <w:jc w:val="both"/>
        <w:rPr/>
      </w:pPr>
      <w:r>
        <w:rPr>
          <w:rFonts w:eastAsia="Times New Roman" w:cs="Times New Roman" w:ascii="Times New Roman" w:hAnsi="Times New Roman"/>
        </w:rPr>
        <w:t xml:space="preserve">1.2. Поверхностно преобразованные почвы - почвы, сформировавшиеся вследствие уничтожения, либо замены насыпными незагрязненными </w:t>
      </w:r>
      <w:r>
        <w:fldChar w:fldCharType="begin"/>
      </w:r>
      <w:r>
        <w:instrText> HYPERLINK "http://www.garant.ru/products/ipo/prime/doc/70018446/" \l "15"</w:instrText>
      </w:r>
      <w:r>
        <w:fldChar w:fldCharType="separate"/>
      </w:r>
      <w:r>
        <w:rPr>
          <w:rStyle w:val="Style5"/>
          <w:rFonts w:eastAsia="Times New Roman" w:cs="Times New Roman" w:ascii="Times New Roman" w:hAnsi="Times New Roman"/>
        </w:rPr>
        <w:t>грунтами</w:t>
      </w:r>
      <w:r>
        <w:fldChar w:fldCharType="end"/>
      </w:r>
      <w:r>
        <w:rPr>
          <w:rFonts w:eastAsia="Times New Roman" w:cs="Times New Roman" w:ascii="Times New Roman" w:hAnsi="Times New Roman"/>
        </w:rPr>
        <w:t xml:space="preserve"> генетических горизонтов верхней части профиля (до 40 см) естественных почв.</w:t>
      </w:r>
    </w:p>
    <w:p>
      <w:pPr>
        <w:pStyle w:val="Normal"/>
        <w:ind w:firstLine="567"/>
        <w:jc w:val="both"/>
        <w:rPr/>
      </w:pPr>
      <w:r>
        <w:rPr>
          <w:rFonts w:eastAsia="Times New Roman" w:cs="Times New Roman" w:ascii="Times New Roman" w:hAnsi="Times New Roman"/>
        </w:rPr>
        <w:t>1.3. Урбаноземы - почвы искусственного происхождения, созданные в процессе формирования среды населенного пункта. Различают следующие виды:</w:t>
      </w:r>
    </w:p>
    <w:p>
      <w:pPr>
        <w:pStyle w:val="Normal"/>
        <w:ind w:firstLine="567"/>
        <w:jc w:val="both"/>
        <w:rPr/>
      </w:pPr>
      <w:r>
        <w:rPr>
          <w:rFonts w:eastAsia="Times New Roman" w:cs="Times New Roman" w:ascii="Times New Roman" w:hAnsi="Times New Roman"/>
        </w:rPr>
        <w:t>Урбаноземы - конструктоземы - почвы, формирующиеся на специально отсыпанных грунтах со слоистой вертикальной структурой, задаваемой исходя из гидрогеологических условий, характера формируемых на них зеленых насаждений и положения в рельефе.</w:t>
      </w:r>
    </w:p>
    <w:p>
      <w:pPr>
        <w:pStyle w:val="Normal"/>
        <w:ind w:firstLine="567"/>
        <w:jc w:val="both"/>
        <w:rPr/>
      </w:pPr>
      <w:r>
        <w:rPr>
          <w:rFonts w:eastAsia="Times New Roman" w:cs="Times New Roman" w:ascii="Times New Roman" w:hAnsi="Times New Roman"/>
        </w:rPr>
        <w:t>Урбаноземы - почвогрунты - почвы, формирующиеся на антропогенно нарушенных (с инородными включениями, нарушенным сложением и т.д.) грунтах, не подвергавшихся целенаправленной рекультивации на всю глубину корнеобитаемого слоя (до 1,5 метров) и имеющие гумуссированный горизонт (искусственно созданный, либо сформированный почвообразующими процессами in situ).</w:t>
      </w:r>
    </w:p>
    <w:p>
      <w:pPr>
        <w:pStyle w:val="Normal"/>
        <w:ind w:firstLine="567"/>
        <w:jc w:val="both"/>
        <w:rPr/>
      </w:pPr>
      <w:r>
        <w:rPr>
          <w:rFonts w:eastAsia="Times New Roman" w:cs="Times New Roman" w:ascii="Times New Roman" w:hAnsi="Times New Roman"/>
        </w:rPr>
        <w:t xml:space="preserve">2. При формировании зеленых насаждений на территориях, нарушенных атропогенной деятельностью, на всем озеленяемом участке рекомендуется создать послойную толщу </w:t>
      </w:r>
      <w:r>
        <w:fldChar w:fldCharType="begin"/>
      </w:r>
      <w:r>
        <w:instrText> HYPERLINK "http://www.garant.ru/products/ipo/prime/doc/70018446/" \l "19"</w:instrText>
      </w:r>
      <w:r>
        <w:fldChar w:fldCharType="separate"/>
      </w:r>
      <w:r>
        <w:rPr>
          <w:rStyle w:val="Style5"/>
          <w:rFonts w:eastAsia="Times New Roman" w:cs="Times New Roman" w:ascii="Times New Roman" w:hAnsi="Times New Roman"/>
        </w:rPr>
        <w:t>почвообразующего грунта</w:t>
      </w:r>
      <w:r>
        <w:fldChar w:fldCharType="end"/>
      </w:r>
      <w:r>
        <w:rPr>
          <w:rFonts w:eastAsia="Times New Roman" w:cs="Times New Roman" w:ascii="Times New Roman" w:hAnsi="Times New Roman"/>
        </w:rPr>
        <w:t>, способную удовлетворить потребность растений в элементах питания, влаге и воздухе. При установлении наличия загрязнения почвенного покрова разной степени при проведении работ по созданию и реконструкции зеленых насаждений осуществляется его рекультивации в соответствии с уровнем и качественными параметрами загрязнения.</w:t>
      </w:r>
    </w:p>
    <w:p>
      <w:pPr>
        <w:pStyle w:val="Normal"/>
        <w:ind w:firstLine="567"/>
        <w:jc w:val="both"/>
        <w:rPr/>
      </w:pPr>
      <w:r>
        <w:rPr>
          <w:rFonts w:eastAsia="Times New Roman" w:cs="Times New Roman" w:ascii="Times New Roman" w:hAnsi="Times New Roman"/>
        </w:rPr>
        <w:t xml:space="preserve">3. Под деревья и кустарники, при их посадке, делаются посадочные ямы, заполняемые </w:t>
      </w:r>
      <w:r>
        <w:fldChar w:fldCharType="begin"/>
      </w:r>
      <w:r>
        <w:instrText> HYPERLINK "http://www.garant.ru/products/ipo/prime/doc/70018446/" \l "18"</w:instrText>
      </w:r>
      <w:r>
        <w:fldChar w:fldCharType="separate"/>
      </w:r>
      <w:r>
        <w:rPr>
          <w:rStyle w:val="Style5"/>
          <w:rFonts w:eastAsia="Times New Roman" w:cs="Times New Roman" w:ascii="Times New Roman" w:hAnsi="Times New Roman"/>
        </w:rPr>
        <w:t>плодородным грунтом</w:t>
      </w:r>
      <w:r>
        <w:fldChar w:fldCharType="end"/>
      </w:r>
      <w:r>
        <w:rPr>
          <w:rFonts w:eastAsia="Times New Roman" w:cs="Times New Roman" w:ascii="Times New Roman" w:hAnsi="Times New Roman"/>
        </w:rPr>
        <w:t>. При формировании слоя почвообразующего грунта на территории, сложенной неблагоприятными для растений грунтами, его рекомендуется изолировать слоем тяжелых суглинков мощностью 0,5 м, выполняющим роль механического и сорбционного геохимического барьера. При загрязнении тяжелыми металлами в грунт рекомендуется вносить углекислую известь в количестве не менее 6 % от веса.</w:t>
      </w:r>
    </w:p>
    <w:p>
      <w:pPr>
        <w:pStyle w:val="Normal"/>
        <w:ind w:firstLine="567"/>
        <w:jc w:val="both"/>
        <w:rPr/>
      </w:pPr>
      <w:r>
        <w:rPr>
          <w:rFonts w:eastAsia="Times New Roman" w:cs="Times New Roman" w:ascii="Times New Roman" w:hAnsi="Times New Roman"/>
        </w:rPr>
        <w:t>4. Поверхность почвенного покрова и толща почвообразующего грунта по всей мощности должны быть очищены от бытового и строительного мусора. Используемый для создания почвообразующего грунта субстрат должен иметь слабую степень засоренности сорняками (</w:t>
      </w:r>
      <w:r>
        <w:fldChar w:fldCharType="begin"/>
      </w:r>
      <w:r>
        <w:instrText> HYPERLINK "http://www.garant.ru/products/ipo/prime/doc/70018446/" \l "4020"</w:instrText>
      </w:r>
      <w:r>
        <w:fldChar w:fldCharType="separate"/>
      </w:r>
      <w:r>
        <w:rPr>
          <w:rStyle w:val="Style5"/>
          <w:rFonts w:eastAsia="Times New Roman" w:cs="Times New Roman" w:ascii="Times New Roman" w:hAnsi="Times New Roman"/>
        </w:rPr>
        <w:t>таблица 2</w:t>
      </w:r>
      <w:r>
        <w:fldChar w:fldCharType="end"/>
      </w:r>
      <w:r>
        <w:rPr>
          <w:rFonts w:eastAsia="Times New Roman" w:cs="Times New Roman" w:ascii="Times New Roman" w:hAnsi="Times New Roman"/>
        </w:rPr>
        <w:t xml:space="preserve"> приложения № 4 к настоящим Правилам).</w:t>
      </w:r>
    </w:p>
    <w:p>
      <w:pPr>
        <w:pStyle w:val="Normal"/>
        <w:ind w:firstLine="567"/>
        <w:jc w:val="both"/>
        <w:rPr/>
      </w:pPr>
      <w:r>
        <w:rPr>
          <w:rFonts w:eastAsia="Times New Roman" w:cs="Times New Roman" w:ascii="Times New Roman" w:hAnsi="Times New Roman"/>
        </w:rPr>
        <w:t xml:space="preserve">5. При проектировании почвенного покрова рекомендуется учитывать уровень химического загрязнения почвообразующего грунта. Степень его загрязнения определяется в санитарном и биологическом аспектах. Характеристика </w:t>
      </w:r>
      <w:r>
        <w:fldChar w:fldCharType="begin"/>
      </w:r>
      <w:r>
        <w:instrText> HYPERLINK "http://www.garant.ru/products/ipo/prime/doc/70018446/" \l "21"</w:instrText>
      </w:r>
      <w:r>
        <w:fldChar w:fldCharType="separate"/>
      </w:r>
      <w:r>
        <w:rPr>
          <w:rStyle w:val="Style5"/>
          <w:rFonts w:eastAsia="Times New Roman" w:cs="Times New Roman" w:ascii="Times New Roman" w:hAnsi="Times New Roman"/>
        </w:rPr>
        <w:t>санитарного состояния</w:t>
      </w:r>
      <w:r>
        <w:fldChar w:fldCharType="end"/>
      </w:r>
      <w:r>
        <w:rPr>
          <w:rFonts w:eastAsia="Times New Roman" w:cs="Times New Roman" w:ascii="Times New Roman" w:hAnsi="Times New Roman"/>
        </w:rPr>
        <w:t xml:space="preserve"> дается для поверхностного слоя, входящего в сферу жизнедеятельности человека и домашних животных. Мощность этого слоя составляет 30 см. Биологическая характеристика дается для слоя почвы, обеспечивающего нормальное развитие растений и составляющего 2 м (</w:t>
      </w:r>
      <w:r>
        <w:fldChar w:fldCharType="begin"/>
      </w:r>
      <w:r>
        <w:instrText> HYPERLINK "http://www.garant.ru/products/ipo/prime/doc/70018446/" \l "4030"</w:instrText>
      </w:r>
      <w:r>
        <w:fldChar w:fldCharType="separate"/>
      </w:r>
      <w:r>
        <w:rPr>
          <w:rStyle w:val="Style5"/>
          <w:rFonts w:eastAsia="Times New Roman" w:cs="Times New Roman" w:ascii="Times New Roman" w:hAnsi="Times New Roman"/>
        </w:rPr>
        <w:t>таблицы 3</w:t>
      </w:r>
      <w:r>
        <w:fldChar w:fldCharType="end"/>
      </w:r>
      <w:r>
        <w:rPr>
          <w:rFonts w:eastAsia="Times New Roman" w:cs="Times New Roman" w:ascii="Times New Roman" w:hAnsi="Times New Roman"/>
        </w:rPr>
        <w:t xml:space="preserve">, </w:t>
      </w:r>
      <w:r>
        <w:fldChar w:fldCharType="begin"/>
      </w:r>
      <w:r>
        <w:instrText> HYPERLINK "http://www.garant.ru/products/ipo/prime/doc/70018446/" \l "4050"</w:instrText>
      </w:r>
      <w:r>
        <w:fldChar w:fldCharType="separate"/>
      </w:r>
      <w:r>
        <w:rPr>
          <w:rStyle w:val="Style5"/>
          <w:rFonts w:eastAsia="Times New Roman" w:cs="Times New Roman" w:ascii="Times New Roman" w:hAnsi="Times New Roman"/>
        </w:rPr>
        <w:t>5</w:t>
      </w:r>
      <w:r>
        <w:fldChar w:fldCharType="end"/>
      </w:r>
      <w:r>
        <w:rPr>
          <w:rFonts w:eastAsia="Times New Roman" w:cs="Times New Roman" w:ascii="Times New Roman" w:hAnsi="Times New Roman"/>
        </w:rPr>
        <w:t xml:space="preserve">, </w:t>
      </w:r>
      <w:r>
        <w:fldChar w:fldCharType="begin"/>
      </w:r>
      <w:r>
        <w:instrText> HYPERLINK "http://www.garant.ru/products/ipo/prime/doc/70018446/" \l "4060"</w:instrText>
      </w:r>
      <w:r>
        <w:fldChar w:fldCharType="separate"/>
      </w:r>
      <w:r>
        <w:rPr>
          <w:rStyle w:val="Style5"/>
          <w:rFonts w:eastAsia="Times New Roman" w:cs="Times New Roman" w:ascii="Times New Roman" w:hAnsi="Times New Roman"/>
        </w:rPr>
        <w:t>6</w:t>
      </w:r>
      <w:r>
        <w:fldChar w:fldCharType="end"/>
      </w:r>
      <w:r>
        <w:rPr>
          <w:rFonts w:eastAsia="Times New Roman" w:cs="Times New Roman" w:ascii="Times New Roman" w:hAnsi="Times New Roman"/>
        </w:rPr>
        <w:t xml:space="preserve"> приложения № 4 к настоящим Правилам).</w:t>
      </w:r>
    </w:p>
    <w:p>
      <w:pPr>
        <w:pStyle w:val="Normal"/>
        <w:ind w:firstLine="567"/>
        <w:jc w:val="both"/>
        <w:rPr/>
      </w:pPr>
      <w:r>
        <w:rPr>
          <w:rFonts w:eastAsia="Times New Roman" w:cs="Times New Roman" w:ascii="Times New Roman" w:hAnsi="Times New Roman"/>
        </w:rPr>
        <w:t>6. Санитарная оценка почвы проводится сравнением фактических концентраций загрязняющего вещества с предельно допустимой концентрацией (далее - ПДК) или ориентировочно допустимой концентрацией (далее - ОДК), установленных органами санитарно-эпидемиологического надзора. Биологическая оценка уровня загрязнения почвы обычно проводится сравнением фактических концентраций загрязняющих веществ с фитотоксичными ПДК (</w:t>
      </w:r>
      <w:r>
        <w:fldChar w:fldCharType="begin"/>
      </w:r>
      <w:r>
        <w:instrText> HYPERLINK "http://www.garant.ru/products/ipo/prime/doc/70018446/" \l "4040"</w:instrText>
      </w:r>
      <w:r>
        <w:fldChar w:fldCharType="separate"/>
      </w:r>
      <w:r>
        <w:rPr>
          <w:rStyle w:val="Style5"/>
          <w:rFonts w:eastAsia="Times New Roman" w:cs="Times New Roman" w:ascii="Times New Roman" w:hAnsi="Times New Roman"/>
        </w:rPr>
        <w:t>таблицы 4</w:t>
      </w:r>
      <w:r>
        <w:fldChar w:fldCharType="end"/>
      </w:r>
      <w:r>
        <w:rPr>
          <w:rFonts w:eastAsia="Times New Roman" w:cs="Times New Roman" w:ascii="Times New Roman" w:hAnsi="Times New Roman"/>
        </w:rPr>
        <w:t xml:space="preserve">, </w:t>
      </w:r>
      <w:r>
        <w:fldChar w:fldCharType="begin"/>
      </w:r>
      <w:r>
        <w:instrText> HYPERLINK "http://www.garant.ru/products/ipo/prime/doc/70018446/" \l "4080"</w:instrText>
      </w:r>
      <w:r>
        <w:fldChar w:fldCharType="separate"/>
      </w:r>
      <w:r>
        <w:rPr>
          <w:rStyle w:val="Style5"/>
          <w:rFonts w:eastAsia="Times New Roman" w:cs="Times New Roman" w:ascii="Times New Roman" w:hAnsi="Times New Roman"/>
        </w:rPr>
        <w:t>8</w:t>
      </w:r>
      <w:r>
        <w:fldChar w:fldCharType="end"/>
      </w:r>
      <w:r>
        <w:rPr>
          <w:rFonts w:eastAsia="Times New Roman" w:cs="Times New Roman" w:ascii="Times New Roman" w:hAnsi="Times New Roman"/>
        </w:rPr>
        <w:t xml:space="preserve"> приложения № 4 к настоящим Правилам).</w:t>
      </w:r>
    </w:p>
    <w:p>
      <w:pPr>
        <w:pStyle w:val="Normal"/>
        <w:ind w:firstLine="567"/>
        <w:jc w:val="both"/>
        <w:rPr/>
      </w:pPr>
      <w:r>
        <w:rPr>
          <w:rFonts w:eastAsia="Times New Roman" w:cs="Times New Roman" w:ascii="Times New Roman" w:hAnsi="Times New Roman"/>
        </w:rPr>
        <w:t xml:space="preserve">7. Биологический уровень загрязнения почвы обычно определяется по среднему уровню содержания в ней </w:t>
      </w:r>
      <w:r>
        <w:fldChar w:fldCharType="begin"/>
      </w:r>
      <w:r>
        <w:instrText> HYPERLINK "http://www.garant.ru/products/ipo/prime/doc/70018446/" \l "20"</w:instrText>
      </w:r>
      <w:r>
        <w:fldChar w:fldCharType="separate"/>
      </w:r>
      <w:r>
        <w:rPr>
          <w:rStyle w:val="Style5"/>
          <w:rFonts w:eastAsia="Times New Roman" w:cs="Times New Roman" w:ascii="Times New Roman" w:hAnsi="Times New Roman"/>
        </w:rPr>
        <w:t>приоритетного компонента загрязнения</w:t>
      </w:r>
      <w:r>
        <w:fldChar w:fldCharType="end"/>
      </w:r>
      <w:r>
        <w:rPr>
          <w:rFonts w:eastAsia="Times New Roman" w:cs="Times New Roman" w:ascii="Times New Roman" w:hAnsi="Times New Roman"/>
        </w:rPr>
        <w:t xml:space="preserve"> в границах </w:t>
      </w:r>
      <w:r>
        <w:fldChar w:fldCharType="begin"/>
      </w:r>
      <w:r>
        <w:instrText> HYPERLINK "http://www.garant.ru/products/ipo/prime/doc/70018446/" \l "16"</w:instrText>
      </w:r>
      <w:r>
        <w:fldChar w:fldCharType="separate"/>
      </w:r>
      <w:r>
        <w:rPr>
          <w:rStyle w:val="Style5"/>
          <w:rFonts w:eastAsia="Times New Roman" w:cs="Times New Roman" w:ascii="Times New Roman" w:hAnsi="Times New Roman"/>
        </w:rPr>
        <w:t>минимального почвенного выдела</w:t>
      </w:r>
      <w:r>
        <w:fldChar w:fldCharType="end"/>
      </w:r>
      <w:r>
        <w:rPr>
          <w:rFonts w:eastAsia="Times New Roman" w:cs="Times New Roman" w:ascii="Times New Roman" w:hAnsi="Times New Roman"/>
        </w:rPr>
        <w:t>.</w:t>
      </w:r>
    </w:p>
    <w:p>
      <w:pPr>
        <w:pStyle w:val="Normal"/>
        <w:ind w:firstLine="567"/>
        <w:jc w:val="both"/>
        <w:rPr/>
      </w:pPr>
      <w:r>
        <w:rPr>
          <w:rFonts w:eastAsia="Times New Roman" w:cs="Times New Roman" w:ascii="Times New Roman" w:hAnsi="Times New Roman"/>
        </w:rPr>
        <w:t>8. При формировании конструктоземов на сильно фильтрующих грунтах (песок, грунты с включениями гравия, щебенки более 40 %) между ними и конструктоземами рекомендуется укладывать водозадерживающий слой из средних и тяжелых суглинков мощностью 20 см. При формировании конструктоземов на склонах крутизной 3-5° необходимо предусматривать укладку на поверхности слоя средне- или тяжелосуглинистого грунта (аллювиального) мощностью 30 см. При формировании конструктоземов на протяженных склонах крутизной более 5° необходимо проводить их обрешетку с заполнением ячеек плодородным тяжелосуглинистым грунтом. Мощность насыпаемого грунта - 15-20 см.</w:t>
      </w:r>
    </w:p>
    <w:p>
      <w:pPr>
        <w:pStyle w:val="Normal"/>
        <w:ind w:firstLine="567"/>
        <w:jc w:val="both"/>
        <w:rPr/>
      </w:pPr>
      <w:r>
        <w:rPr>
          <w:rFonts w:eastAsia="Times New Roman" w:cs="Times New Roman" w:ascii="Times New Roman" w:hAnsi="Times New Roman"/>
        </w:rPr>
        <w:t>9. На поверхностно подтопленных территориях с уровнем залегания безнапорных грунтовых вод 2-3 метра почвенный покров обычно конструируется с учетом требований по дренированию корнеобитаемого слоя для различных типов зеленых насаждений путем создания прослоя грунта, создающего разрыв каймы капиллярного поднятия. Величина прослоя и глубина его заложения определяются в соответствии с таблицей. При проектировании системы зеленых насаждений на поверхностно подтопленных территориях с глубиной залегания грунтовых вод менее 2 метров рекомендуется закладывать регулярный дренаж в совокупности с конструированием слоя, создающего разрыв капиллярной каймы.</w:t>
      </w:r>
    </w:p>
    <w:p>
      <w:pPr>
        <w:pStyle w:val="Normal"/>
        <w:ind w:firstLine="567"/>
        <w:jc w:val="both"/>
        <w:rPr/>
      </w:pPr>
      <w:r>
        <w:rPr>
          <w:rFonts w:eastAsia="Times New Roman" w:cs="Times New Roman" w:ascii="Times New Roman" w:hAnsi="Times New Roman"/>
        </w:rPr>
        <w:t>10. При проектировании системы зеленых насаждений на территориях, подверженных ветровой эрозии (скорости ветра более 3 м/с), рекомендуется предусматривать создание дернового горизонта плотностью 80-90 %. При создании почвенной толщи для устройства спортивных газонов обычно применяют четыре типа конструкций в зависимости от фильтрующей способности подстилающего грунта (</w:t>
      </w:r>
      <w:r>
        <w:fldChar w:fldCharType="begin"/>
      </w:r>
      <w:r>
        <w:instrText> HYPERLINK "http://www.garant.ru/products/ipo/prime/doc/70018446/" \l "4070"</w:instrText>
      </w:r>
      <w:r>
        <w:fldChar w:fldCharType="separate"/>
      </w:r>
      <w:r>
        <w:rPr>
          <w:rStyle w:val="Style5"/>
          <w:rFonts w:eastAsia="Times New Roman" w:cs="Times New Roman" w:ascii="Times New Roman" w:hAnsi="Times New Roman"/>
        </w:rPr>
        <w:t>таблица 7</w:t>
      </w:r>
      <w:r>
        <w:fldChar w:fldCharType="end"/>
      </w:r>
      <w:r>
        <w:rPr>
          <w:rFonts w:eastAsia="Times New Roman" w:cs="Times New Roman" w:ascii="Times New Roman" w:hAnsi="Times New Roman"/>
        </w:rPr>
        <w:t xml:space="preserve"> приложения № 4 к настоящим Правилам).</w:t>
      </w:r>
    </w:p>
    <w:p>
      <w:pPr>
        <w:pStyle w:val="Normal"/>
        <w:ind w:firstLine="567"/>
        <w:jc w:val="both"/>
        <w:rPr/>
      </w:pPr>
      <w:r>
        <w:rPr>
          <w:rFonts w:eastAsia="Times New Roman" w:cs="Times New Roman" w:ascii="Times New Roman" w:hAnsi="Times New Roman"/>
        </w:rPr>
        <w:t>11. В условиях ВТРК "Архыз" грунты под газоны и откосы, как правило, нуждаются в полной замене. Слой растительной земли под газон должен составлять 20 см с обязательным улучшением механического состава растительного грунта введением добавок и многократным перемешиванием: песок – 25 %, торф – 25 %, растительная земля – 50 %. Также рекомендуется предусматривать улучшение плодородия растительного грунта введением минеральных и органических удобрений. При проектировании благоустройства рекомендуется использовать новые методы, улучшающие качество устраиваемых газонов: стабилизация гидропосевом, "Пикса" и др. Норма высева семян при устройстве газонов в городских условиях составляет не менее 40 г/кв.м с указанием в проекте травосмесей, соответствующих условиям.</w:t>
      </w:r>
    </w:p>
    <w:p>
      <w:pPr>
        <w:pStyle w:val="Normal"/>
        <w:ind w:firstLine="567"/>
        <w:jc w:val="both"/>
        <w:rPr/>
      </w:pPr>
      <w:r>
        <w:rPr>
          <w:rFonts w:eastAsia="Times New Roman" w:cs="Times New Roman" w:ascii="Times New Roman" w:hAnsi="Times New Roman"/>
        </w:rPr>
        <w:t>Уход за зелеными насаждениями рекомендуется осуществлять субъектами, производящими строительство и реконструкцию, весь период строительства или реконструкции до сдачи объекта эксплуатирующей организации.</w:t>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1</w:t>
      </w:r>
    </w:p>
    <w:p>
      <w:pPr>
        <w:pStyle w:val="Style61"/>
        <w:spacing w:before="0" w:after="0"/>
        <w:jc w:val="center"/>
        <w:rPr/>
      </w:pPr>
      <w:r>
        <w:rPr/>
        <w:t>ТРЕБОВАНИЯ К КАЧЕСТВУ ГОРОДСКИХ ПОЧВ</w:t>
      </w:r>
    </w:p>
    <w:tbl>
      <w:tblPr>
        <w:tblW w:w="10159"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6961"/>
        <w:gridCol w:w="1066"/>
        <w:gridCol w:w="1066"/>
        <w:gridCol w:w="1065"/>
      </w:tblGrid>
      <w:tr>
        <w:trPr/>
        <w:tc>
          <w:tcPr>
            <w:tcW w:w="696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Показатели почвообр. слоев и горизонтов</w:t>
            </w:r>
          </w:p>
        </w:tc>
        <w:tc>
          <w:tcPr>
            <w:tcW w:w="3197"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Глубины слоев, см</w:t>
            </w:r>
          </w:p>
        </w:tc>
      </w:tr>
      <w:tr>
        <w:trPr/>
        <w:tc>
          <w:tcPr>
            <w:tcW w:w="696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b/>
                <w:b/>
                <w:bCs/>
              </w:rPr>
            </w:pPr>
            <w:r>
              <w:rPr>
                <w:rFonts w:eastAsia="Times New Roman" w:cs="Times New Roman" w:ascii="Times New Roman" w:hAnsi="Times New Roman"/>
                <w:b/>
                <w:bCs/>
              </w:rPr>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0-20</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20-50</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50-150</w:t>
            </w:r>
          </w:p>
        </w:tc>
      </w:tr>
      <w:tr>
        <w:trPr/>
        <w:tc>
          <w:tcPr>
            <w:tcW w:w="10158"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Физические свойства</w:t>
            </w:r>
          </w:p>
        </w:tc>
      </w:tr>
      <w:tr>
        <w:trPr/>
        <w:tc>
          <w:tcPr>
            <w:tcW w:w="69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Содержание физической глины &lt; 0,01 мм</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30-40</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20-40</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30-40</w:t>
            </w:r>
          </w:p>
        </w:tc>
      </w:tr>
      <w:tr>
        <w:trPr/>
        <w:tc>
          <w:tcPr>
            <w:tcW w:w="69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Плотность сложения *</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0,8-1,1</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1,0-1,2</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1,2-1,3</w:t>
            </w:r>
          </w:p>
        </w:tc>
      </w:tr>
      <w:tr>
        <w:trPr/>
        <w:tc>
          <w:tcPr>
            <w:tcW w:w="10158"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Химические свойства</w:t>
            </w:r>
          </w:p>
        </w:tc>
      </w:tr>
      <w:tr>
        <w:trPr/>
        <w:tc>
          <w:tcPr>
            <w:tcW w:w="69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Гумус в/о</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4-5</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1-0,5</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0,5</w:t>
            </w:r>
          </w:p>
        </w:tc>
      </w:tr>
      <w:tr>
        <w:trPr/>
        <w:tc>
          <w:tcPr>
            <w:tcW w:w="69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рН</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5,5-6,5</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5,5-7,0</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5,0-6,0</w:t>
            </w:r>
          </w:p>
        </w:tc>
      </w:tr>
      <w:tr>
        <w:trPr/>
        <w:tc>
          <w:tcPr>
            <w:tcW w:w="69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Содержание ТМ отношение к ОДК</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w:t>
            </w:r>
          </w:p>
        </w:tc>
      </w:tr>
      <w:tr>
        <w:trPr/>
        <w:tc>
          <w:tcPr>
            <w:tcW w:w="69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Величина РВ мкр/ч</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&lt;20</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&lt;20</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&lt;20</w:t>
            </w:r>
          </w:p>
        </w:tc>
      </w:tr>
      <w:tr>
        <w:trPr/>
        <w:tc>
          <w:tcPr>
            <w:tcW w:w="69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Мин. уровень обеспеченности минеральным азотом мг/100 г почвы</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w:t>
            </w:r>
          </w:p>
        </w:tc>
      </w:tr>
      <w:tr>
        <w:trPr/>
        <w:tc>
          <w:tcPr>
            <w:tcW w:w="69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Содержание * и * мг/100 г почвы (мин. допустимое / оптим.)</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10/40 и 35</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10/20 и 15</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10/15 и 10</w:t>
            </w:r>
          </w:p>
        </w:tc>
      </w:tr>
      <w:tr>
        <w:trPr/>
        <w:tc>
          <w:tcPr>
            <w:tcW w:w="10158"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Биологические свойства</w:t>
            </w:r>
          </w:p>
        </w:tc>
      </w:tr>
      <w:tr>
        <w:trPr/>
        <w:tc>
          <w:tcPr>
            <w:tcW w:w="69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Величина патогенных микроорганизмов, шт./грамм почвы</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r>
      <w:tr>
        <w:trPr/>
        <w:tc>
          <w:tcPr>
            <w:tcW w:w="69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Разнообразие мезофауны, шт. Видов</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w:t>
            </w:r>
          </w:p>
        </w:tc>
      </w:tr>
      <w:tr>
        <w:trPr/>
        <w:tc>
          <w:tcPr>
            <w:tcW w:w="69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Фитотоксичность, кратность к фону</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&lt;1,1</w:t>
            </w:r>
          </w:p>
        </w:tc>
        <w:tc>
          <w:tcPr>
            <w:tcW w:w="10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1,1-1,3</w:t>
            </w:r>
          </w:p>
        </w:tc>
        <w:tc>
          <w:tcPr>
            <w:tcW w:w="10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1,1-1,3</w:t>
            </w:r>
          </w:p>
        </w:tc>
      </w:tr>
    </w:tbl>
    <w:p>
      <w:pPr>
        <w:pStyle w:val="Normal"/>
        <w:rPr>
          <w:rFonts w:ascii="Times New Roman" w:hAnsi="Times New Roman" w:eastAsia="Times New Roman" w:cs="Times New Roman"/>
          <w:b/>
          <w:b/>
        </w:rPr>
      </w:pPr>
      <w:r>
        <w:rPr>
          <w:rFonts w:eastAsia="Times New Roman" w:cs="Times New Roman" w:ascii="Times New Roman" w:hAnsi="Times New Roman"/>
          <w:b/>
        </w:rPr>
      </w:r>
    </w:p>
    <w:p>
      <w:pPr>
        <w:pStyle w:val="Style99"/>
        <w:spacing w:lineRule="auto" w:line="240"/>
        <w:rPr/>
      </w:pPr>
      <w:r>
        <w:rPr>
          <w:rFonts w:eastAsia="Times New Roman" w:cs="Times New Roman" w:ascii="Times New Roman" w:hAnsi="Times New Roman"/>
          <w:b/>
          <w:lang w:eastAsia="ru-RU"/>
        </w:rPr>
        <w:t>ТАБЛИЦА 2</w:t>
      </w:r>
    </w:p>
    <w:p>
      <w:pPr>
        <w:pStyle w:val="Style61"/>
        <w:spacing w:before="0" w:after="0"/>
        <w:jc w:val="center"/>
        <w:rPr/>
      </w:pPr>
      <w:r>
        <w:rPr/>
        <w:t>УРОВЕНЬ ЗАГРЯЗНЕНИЯ СОРНЯКАМИ</w:t>
      </w:r>
    </w:p>
    <w:tbl>
      <w:tblPr>
        <w:tblW w:w="4388"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2162"/>
        <w:gridCol w:w="2225"/>
      </w:tblGrid>
      <w:tr>
        <w:trPr/>
        <w:tc>
          <w:tcPr>
            <w:tcW w:w="4387"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Количество штук на кв. метр</w:t>
            </w:r>
          </w:p>
        </w:tc>
      </w:tr>
      <w:tr>
        <w:trPr/>
        <w:tc>
          <w:tcPr>
            <w:tcW w:w="21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Степень загрязнения</w:t>
            </w:r>
          </w:p>
        </w:tc>
        <w:tc>
          <w:tcPr>
            <w:tcW w:w="22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Количество сорняков</w:t>
            </w:r>
          </w:p>
        </w:tc>
      </w:tr>
      <w:tr>
        <w:trPr/>
        <w:tc>
          <w:tcPr>
            <w:tcW w:w="21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Слабая</w:t>
            </w:r>
          </w:p>
        </w:tc>
        <w:tc>
          <w:tcPr>
            <w:tcW w:w="22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1-50</w:t>
            </w:r>
          </w:p>
        </w:tc>
      </w:tr>
      <w:tr>
        <w:trPr/>
        <w:tc>
          <w:tcPr>
            <w:tcW w:w="21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Средняя</w:t>
            </w:r>
          </w:p>
        </w:tc>
        <w:tc>
          <w:tcPr>
            <w:tcW w:w="22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51-100</w:t>
            </w:r>
          </w:p>
        </w:tc>
      </w:tr>
      <w:tr>
        <w:trPr/>
        <w:tc>
          <w:tcPr>
            <w:tcW w:w="21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Сильная</w:t>
            </w:r>
          </w:p>
        </w:tc>
        <w:tc>
          <w:tcPr>
            <w:tcW w:w="22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более 100</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3</w:t>
      </w:r>
    </w:p>
    <w:p>
      <w:pPr>
        <w:pStyle w:val="Style61"/>
        <w:spacing w:before="0" w:after="0"/>
        <w:jc w:val="center"/>
        <w:rPr/>
      </w:pPr>
      <w:r>
        <w:rPr/>
        <w:t>БИОЛОГИЧЕСКИЕ ПОКАЗАТЕЛИ ПОЧВ И ИХ КРИТЕРИИ ОЦЕНКИ</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2417"/>
        <w:gridCol w:w="1251"/>
        <w:gridCol w:w="1900"/>
        <w:gridCol w:w="1489"/>
        <w:gridCol w:w="1941"/>
        <w:gridCol w:w="1269"/>
      </w:tblGrid>
      <w:tr>
        <w:trPr/>
        <w:tc>
          <w:tcPr>
            <w:tcW w:w="2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Биологические показатели</w:t>
            </w:r>
          </w:p>
        </w:tc>
        <w:tc>
          <w:tcPr>
            <w:tcW w:w="12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Удовлетв. ситуация</w:t>
            </w:r>
          </w:p>
        </w:tc>
        <w:tc>
          <w:tcPr>
            <w:tcW w:w="19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Относительно удовлетворит. ситуация</w:t>
            </w:r>
          </w:p>
        </w:tc>
        <w:tc>
          <w:tcPr>
            <w:tcW w:w="14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Неудовлетв. ситуация</w:t>
            </w:r>
          </w:p>
        </w:tc>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Чрезвыч. Экологическая ситуация</w:t>
            </w:r>
          </w:p>
        </w:tc>
        <w:tc>
          <w:tcPr>
            <w:tcW w:w="1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Экологич. бедствие</w:t>
            </w:r>
          </w:p>
        </w:tc>
      </w:tr>
      <w:tr>
        <w:trPr/>
        <w:tc>
          <w:tcPr>
            <w:tcW w:w="2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Уровень активности микробомассы (кратность уменьшения)</w:t>
            </w:r>
          </w:p>
        </w:tc>
        <w:tc>
          <w:tcPr>
            <w:tcW w:w="12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&lt;5</w:t>
            </w:r>
          </w:p>
        </w:tc>
        <w:tc>
          <w:tcPr>
            <w:tcW w:w="19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5-10</w:t>
            </w:r>
          </w:p>
        </w:tc>
        <w:tc>
          <w:tcPr>
            <w:tcW w:w="14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10-50</w:t>
            </w:r>
          </w:p>
        </w:tc>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50-100</w:t>
            </w:r>
          </w:p>
        </w:tc>
        <w:tc>
          <w:tcPr>
            <w:tcW w:w="1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&gt;100</w:t>
            </w:r>
          </w:p>
        </w:tc>
      </w:tr>
      <w:tr>
        <w:trPr/>
        <w:tc>
          <w:tcPr>
            <w:tcW w:w="2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Количество патогенных микроорганизмов в 1 г почвы</w:t>
            </w:r>
          </w:p>
        </w:tc>
        <w:tc>
          <w:tcPr>
            <w:tcW w:w="12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9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4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Содержание яиц гельминтов в 1 кг почвы</w:t>
            </w:r>
          </w:p>
        </w:tc>
        <w:tc>
          <w:tcPr>
            <w:tcW w:w="12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9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до 10</w:t>
            </w:r>
          </w:p>
        </w:tc>
        <w:tc>
          <w:tcPr>
            <w:tcW w:w="14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10-50</w:t>
            </w:r>
          </w:p>
        </w:tc>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50-100</w:t>
            </w:r>
          </w:p>
        </w:tc>
        <w:tc>
          <w:tcPr>
            <w:tcW w:w="1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&gt;100</w:t>
            </w:r>
          </w:p>
        </w:tc>
      </w:tr>
      <w:tr>
        <w:trPr/>
        <w:tc>
          <w:tcPr>
            <w:tcW w:w="2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Колититр</w:t>
            </w:r>
          </w:p>
        </w:tc>
        <w:tc>
          <w:tcPr>
            <w:tcW w:w="12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&gt;1,0</w:t>
            </w:r>
          </w:p>
        </w:tc>
        <w:tc>
          <w:tcPr>
            <w:tcW w:w="19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1,0-0,01</w:t>
            </w:r>
          </w:p>
        </w:tc>
        <w:tc>
          <w:tcPr>
            <w:tcW w:w="14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0,01-0,05</w:t>
            </w:r>
          </w:p>
        </w:tc>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0,05-0,001</w:t>
            </w:r>
          </w:p>
        </w:tc>
        <w:tc>
          <w:tcPr>
            <w:tcW w:w="1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&lt;0,001</w:t>
            </w:r>
          </w:p>
        </w:tc>
      </w:tr>
      <w:tr>
        <w:trPr/>
        <w:tc>
          <w:tcPr>
            <w:tcW w:w="2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Фитотоксичность (кратность)</w:t>
            </w:r>
          </w:p>
        </w:tc>
        <w:tc>
          <w:tcPr>
            <w:tcW w:w="12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&lt;1,1</w:t>
            </w:r>
          </w:p>
        </w:tc>
        <w:tc>
          <w:tcPr>
            <w:tcW w:w="19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1,1-1,3</w:t>
            </w:r>
          </w:p>
        </w:tc>
        <w:tc>
          <w:tcPr>
            <w:tcW w:w="14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1,3-1,6</w:t>
            </w:r>
          </w:p>
        </w:tc>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1,6-2,0</w:t>
            </w:r>
          </w:p>
        </w:tc>
        <w:tc>
          <w:tcPr>
            <w:tcW w:w="1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&gt;2,0</w:t>
            </w:r>
          </w:p>
        </w:tc>
      </w:tr>
      <w:tr>
        <w:trPr/>
        <w:tc>
          <w:tcPr>
            <w:tcW w:w="2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Генотоксичность (рост числа мутаций в сравнении с контролем)</w:t>
            </w:r>
          </w:p>
        </w:tc>
        <w:tc>
          <w:tcPr>
            <w:tcW w:w="12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&lt;2</w:t>
            </w:r>
          </w:p>
        </w:tc>
        <w:tc>
          <w:tcPr>
            <w:tcW w:w="19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2-10</w:t>
            </w:r>
          </w:p>
        </w:tc>
        <w:tc>
          <w:tcPr>
            <w:tcW w:w="14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1-100</w:t>
            </w:r>
          </w:p>
        </w:tc>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100-1000</w:t>
            </w:r>
          </w:p>
        </w:tc>
        <w:tc>
          <w:tcPr>
            <w:tcW w:w="12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&gt;100</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4</w:t>
      </w:r>
    </w:p>
    <w:p>
      <w:pPr>
        <w:pStyle w:val="Style61"/>
        <w:spacing w:before="0" w:after="0"/>
        <w:jc w:val="center"/>
        <w:rPr/>
      </w:pPr>
      <w:r>
        <w:rPr/>
        <w:t>ФИТОТОКСИЧНОСТЬ ГРУНТОВ, ОДК</w:t>
      </w:r>
    </w:p>
    <w:tbl>
      <w:tblPr>
        <w:tblW w:w="3487"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434"/>
        <w:gridCol w:w="435"/>
        <w:gridCol w:w="435"/>
        <w:gridCol w:w="436"/>
        <w:gridCol w:w="435"/>
        <w:gridCol w:w="331"/>
        <w:gridCol w:w="980"/>
      </w:tblGrid>
      <w:tr>
        <w:trPr/>
        <w:tc>
          <w:tcPr>
            <w:tcW w:w="3486" w:type="dxa"/>
            <w:gridSpan w:val="7"/>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В миллиграммах на килограмм</w:t>
            </w:r>
          </w:p>
        </w:tc>
      </w:tr>
      <w:tr>
        <w:trPr/>
        <w:tc>
          <w:tcPr>
            <w:tcW w:w="4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Cr</w:t>
            </w:r>
          </w:p>
        </w:tc>
        <w:tc>
          <w:tcPr>
            <w:tcW w:w="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Ni</w:t>
            </w:r>
          </w:p>
        </w:tc>
        <w:tc>
          <w:tcPr>
            <w:tcW w:w="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Zn</w:t>
            </w:r>
          </w:p>
        </w:tc>
        <w:tc>
          <w:tcPr>
            <w:tcW w:w="4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Pb</w:t>
            </w:r>
          </w:p>
        </w:tc>
        <w:tc>
          <w:tcPr>
            <w:tcW w:w="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Cu</w:t>
            </w:r>
          </w:p>
        </w:tc>
        <w:tc>
          <w:tcPr>
            <w:tcW w:w="3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As</w:t>
            </w:r>
          </w:p>
        </w:tc>
        <w:tc>
          <w:tcPr>
            <w:tcW w:w="98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CL иона</w:t>
            </w:r>
          </w:p>
        </w:tc>
      </w:tr>
      <w:tr>
        <w:trPr/>
        <w:tc>
          <w:tcPr>
            <w:tcW w:w="4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w:t>
            </w:r>
          </w:p>
        </w:tc>
        <w:tc>
          <w:tcPr>
            <w:tcW w:w="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w:t>
            </w:r>
          </w:p>
        </w:tc>
        <w:tc>
          <w:tcPr>
            <w:tcW w:w="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300</w:t>
            </w:r>
          </w:p>
        </w:tc>
        <w:tc>
          <w:tcPr>
            <w:tcW w:w="4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w:t>
            </w:r>
          </w:p>
        </w:tc>
        <w:tc>
          <w:tcPr>
            <w:tcW w:w="4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w:t>
            </w:r>
          </w:p>
        </w:tc>
        <w:tc>
          <w:tcPr>
            <w:tcW w:w="3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w:t>
            </w:r>
          </w:p>
        </w:tc>
        <w:tc>
          <w:tcPr>
            <w:tcW w:w="98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5</w:t>
      </w:r>
    </w:p>
    <w:p>
      <w:pPr>
        <w:pStyle w:val="Style61"/>
        <w:spacing w:before="0" w:after="0"/>
        <w:jc w:val="center"/>
        <w:rPr/>
      </w:pPr>
      <w:r>
        <w:rPr/>
        <w:t>УРОВНИ ЗАГРЯЗНЕНИЯ ПОЧВ ПРИ КОТОРЫХ ПОДАВЛЯЕТСЯ ФЕРМЕНТАТИВНАЯ АКТИВНОСТЬ ПОЧВ</w:t>
      </w:r>
    </w:p>
    <w:tbl>
      <w:tblPr>
        <w:tblW w:w="9666"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3775"/>
        <w:gridCol w:w="2041"/>
        <w:gridCol w:w="1967"/>
        <w:gridCol w:w="1882"/>
      </w:tblGrid>
      <w:tr>
        <w:trPr/>
        <w:tc>
          <w:tcPr>
            <w:tcW w:w="9665"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В миллиграммах на 100 грамм</w:t>
            </w:r>
          </w:p>
        </w:tc>
      </w:tr>
      <w:tr>
        <w:trPr/>
        <w:tc>
          <w:tcPr>
            <w:tcW w:w="3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Ферменты</w:t>
            </w:r>
            <w:r>
              <w:fldChar w:fldCharType="begin"/>
            </w:r>
            <w:r>
              <w:instrText> HYPERLINK "http://www.garant.ru/products/ipo/prime/doc/70018446/" \l "4055"</w:instrText>
            </w:r>
            <w:r>
              <w:fldChar w:fldCharType="separate"/>
            </w:r>
            <w:r>
              <w:rPr>
                <w:rStyle w:val="Style5"/>
                <w:rFonts w:eastAsia="Times New Roman" w:cs="Times New Roman" w:ascii="Times New Roman" w:hAnsi="Times New Roman"/>
              </w:rPr>
              <w:t>*</w:t>
            </w:r>
            <w:r>
              <w:fldChar w:fldCharType="end"/>
            </w:r>
          </w:p>
        </w:tc>
        <w:tc>
          <w:tcPr>
            <w:tcW w:w="5890"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Содержание в почве</w:t>
            </w:r>
          </w:p>
        </w:tc>
      </w:tr>
      <w:tr>
        <w:trPr/>
        <w:tc>
          <w:tcPr>
            <w:tcW w:w="3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20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Кадмий</w:t>
            </w:r>
          </w:p>
        </w:tc>
        <w:tc>
          <w:tcPr>
            <w:tcW w:w="1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Свинец</w:t>
            </w:r>
          </w:p>
        </w:tc>
        <w:tc>
          <w:tcPr>
            <w:tcW w:w="1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Цинк</w:t>
            </w:r>
          </w:p>
        </w:tc>
      </w:tr>
      <w:tr>
        <w:trPr/>
        <w:tc>
          <w:tcPr>
            <w:tcW w:w="3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Каталаза</w:t>
            </w:r>
          </w:p>
        </w:tc>
        <w:tc>
          <w:tcPr>
            <w:tcW w:w="20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w:t>
            </w:r>
          </w:p>
        </w:tc>
        <w:tc>
          <w:tcPr>
            <w:tcW w:w="1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700</w:t>
            </w:r>
          </w:p>
        </w:tc>
        <w:tc>
          <w:tcPr>
            <w:tcW w:w="1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300</w:t>
            </w:r>
          </w:p>
        </w:tc>
      </w:tr>
      <w:tr>
        <w:trPr/>
        <w:tc>
          <w:tcPr>
            <w:tcW w:w="3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Дегидрогеназа</w:t>
            </w:r>
          </w:p>
        </w:tc>
        <w:tc>
          <w:tcPr>
            <w:tcW w:w="20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w:t>
            </w:r>
          </w:p>
        </w:tc>
        <w:tc>
          <w:tcPr>
            <w:tcW w:w="1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300</w:t>
            </w:r>
          </w:p>
        </w:tc>
        <w:tc>
          <w:tcPr>
            <w:tcW w:w="1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700</w:t>
            </w:r>
          </w:p>
        </w:tc>
      </w:tr>
      <w:tr>
        <w:trPr/>
        <w:tc>
          <w:tcPr>
            <w:tcW w:w="3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Инвертаза</w:t>
            </w:r>
          </w:p>
        </w:tc>
        <w:tc>
          <w:tcPr>
            <w:tcW w:w="20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w:t>
            </w:r>
          </w:p>
        </w:tc>
        <w:tc>
          <w:tcPr>
            <w:tcW w:w="1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&gt;1000</w:t>
            </w:r>
          </w:p>
        </w:tc>
        <w:tc>
          <w:tcPr>
            <w:tcW w:w="1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10000</w:t>
            </w:r>
          </w:p>
        </w:tc>
      </w:tr>
      <w:tr>
        <w:trPr/>
        <w:tc>
          <w:tcPr>
            <w:tcW w:w="3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Протеаза</w:t>
            </w:r>
          </w:p>
        </w:tc>
        <w:tc>
          <w:tcPr>
            <w:tcW w:w="20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50</w:t>
            </w:r>
          </w:p>
        </w:tc>
        <w:tc>
          <w:tcPr>
            <w:tcW w:w="1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&gt;1000</w:t>
            </w:r>
          </w:p>
        </w:tc>
        <w:tc>
          <w:tcPr>
            <w:tcW w:w="1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&gt;10000</w:t>
            </w:r>
          </w:p>
        </w:tc>
      </w:tr>
      <w:tr>
        <w:trPr/>
        <w:tc>
          <w:tcPr>
            <w:tcW w:w="37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Уреаза</w:t>
            </w:r>
          </w:p>
        </w:tc>
        <w:tc>
          <w:tcPr>
            <w:tcW w:w="20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&gt;100</w:t>
            </w:r>
          </w:p>
        </w:tc>
        <w:tc>
          <w:tcPr>
            <w:tcW w:w="19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&gt;1000</w:t>
            </w:r>
          </w:p>
        </w:tc>
        <w:tc>
          <w:tcPr>
            <w:tcW w:w="1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&gt;10000</w:t>
            </w:r>
          </w:p>
        </w:tc>
      </w:tr>
      <w:tr>
        <w:trPr/>
        <w:tc>
          <w:tcPr>
            <w:tcW w:w="9665"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*Ферменты, участвующие в процессах минерализации и синтеза различных веществ в почвах</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6</w:t>
      </w:r>
    </w:p>
    <w:p>
      <w:pPr>
        <w:pStyle w:val="Style61"/>
        <w:spacing w:before="0" w:after="0"/>
        <w:jc w:val="center"/>
        <w:rPr/>
      </w:pPr>
      <w:r>
        <w:fldChar w:fldCharType="begin"/>
      </w:r>
      <w:r>
        <w:instrText> HYPERLINK "http://www.garant.ru/products/ipo/prime/doc/70018446/" \l "14"</w:instrText>
      </w:r>
      <w:r>
        <w:fldChar w:fldCharType="separate"/>
      </w:r>
      <w:r>
        <w:rPr>
          <w:rStyle w:val="Style5"/>
        </w:rPr>
        <w:t>БИОЛОГИЧЕСКИЕ УРОВНИ ЗАГРЯЗНЕНИЯ</w:t>
      </w:r>
      <w:r>
        <w:fldChar w:fldCharType="end"/>
      </w:r>
      <w:r>
        <w:rPr/>
        <w:t xml:space="preserve"> ПОЧВЕННОГО ПОКРОВА ДЛЯ УСЛОВИЙ ПРОИЗРАСТАНИЯ</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2042"/>
        <w:gridCol w:w="1215"/>
        <w:gridCol w:w="816"/>
        <w:gridCol w:w="1083"/>
        <w:gridCol w:w="997"/>
        <w:gridCol w:w="1053"/>
        <w:gridCol w:w="997"/>
        <w:gridCol w:w="1099"/>
        <w:gridCol w:w="965"/>
      </w:tblGrid>
      <w:tr>
        <w:trPr/>
        <w:tc>
          <w:tcPr>
            <w:tcW w:w="10267" w:type="dxa"/>
            <w:gridSpan w:val="9"/>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В миллиграммах на килограмм</w:t>
            </w:r>
          </w:p>
        </w:tc>
      </w:tr>
      <w:tr>
        <w:trPr/>
        <w:tc>
          <w:tcPr>
            <w:tcW w:w="2042"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Уровень загрязнения</w:t>
            </w:r>
          </w:p>
        </w:tc>
        <w:tc>
          <w:tcPr>
            <w:tcW w:w="8225"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Содержание элемента мг/кг</w:t>
            </w:r>
          </w:p>
        </w:tc>
      </w:tr>
      <w:tr>
        <w:trPr/>
        <w:tc>
          <w:tcPr>
            <w:tcW w:w="2042"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Мышьяк</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Ртуть</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Свинец</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Цинк</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Кадмий</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Медь</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Никель</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Хром</w:t>
            </w:r>
          </w:p>
        </w:tc>
      </w:tr>
      <w:tr>
        <w:trPr/>
        <w:tc>
          <w:tcPr>
            <w:tcW w:w="10267" w:type="dxa"/>
            <w:gridSpan w:val="9"/>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 песчаных и супесчаных почвах (валовые формы)</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Нормальн.</w:t>
            </w:r>
            <w:r>
              <w:fldChar w:fldCharType="begin"/>
            </w:r>
            <w:r>
              <w:instrText> HYPERLINK "http://www.garant.ru/products/ipo/prime/doc/70018446/" \l "4066"</w:instrText>
            </w:r>
            <w:r>
              <w:fldChar w:fldCharType="separate"/>
            </w:r>
            <w:r>
              <w:rPr>
                <w:rStyle w:val="Style5"/>
                <w:rFonts w:eastAsia="Times New Roman" w:cs="Times New Roman" w:ascii="Times New Roman" w:hAnsi="Times New Roman"/>
                <w:u w:val="single"/>
              </w:rPr>
              <w:t>*</w:t>
            </w:r>
            <w:r>
              <w:fldChar w:fldCharType="end"/>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1,0-2,0</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1,0-2,1</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16,0-32,0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27,1-55,0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0,26-0,5</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16,1-33,0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10,1-20,0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50,0-100</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Средний</w:t>
            </w:r>
            <w:r>
              <w:fldChar w:fldCharType="begin"/>
            </w:r>
            <w:r>
              <w:instrText> HYPERLINK "http://www.garant.ru/products/ipo/prime/doc/70018446/" \l "4066"</w:instrText>
            </w:r>
            <w:r>
              <w:fldChar w:fldCharType="separate"/>
            </w:r>
            <w:r>
              <w:rPr>
                <w:rStyle w:val="Style5"/>
                <w:rFonts w:eastAsia="Times New Roman" w:cs="Times New Roman" w:ascii="Times New Roman" w:hAnsi="Times New Roman"/>
                <w:u w:val="single"/>
              </w:rPr>
              <w:t>*</w:t>
            </w:r>
            <w:r>
              <w:fldChar w:fldCharType="end"/>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2,1-4,0</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2,2-4,2</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32,1-64,0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55,1-110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0,6-1,0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33,1-165</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20,0-100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101-500</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Высокий</w:t>
            </w:r>
            <w:r>
              <w:fldChar w:fldCharType="begin"/>
            </w:r>
            <w:r>
              <w:instrText> HYPERLINK "http://www.garant.ru/products/ipo/prime/doc/70018446/" \l "4066"</w:instrText>
            </w:r>
            <w:r>
              <w:fldChar w:fldCharType="separate"/>
            </w:r>
            <w:r>
              <w:rPr>
                <w:rStyle w:val="Style5"/>
                <w:rFonts w:eastAsia="Times New Roman" w:cs="Times New Roman" w:ascii="Times New Roman" w:hAnsi="Times New Roman"/>
                <w:u w:val="single"/>
              </w:rPr>
              <w:t>*</w:t>
            </w:r>
            <w:r>
              <w:fldChar w:fldCharType="end"/>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4,1-6,0</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4,3-6,2</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64,1-96</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110,1-165</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1,1-1,5</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165,1-330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100,1-200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501-1000</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Оч. высок.</w:t>
            </w:r>
            <w:r>
              <w:fldChar w:fldCharType="begin"/>
            </w:r>
            <w:r>
              <w:instrText> HYPERLINK "http://www.garant.ru/products/ipo/prime/doc/70018446/" \l "4066"</w:instrText>
            </w:r>
            <w:r>
              <w:fldChar w:fldCharType="separate"/>
            </w:r>
            <w:r>
              <w:rPr>
                <w:rStyle w:val="Style5"/>
                <w:rFonts w:eastAsia="Times New Roman" w:cs="Times New Roman" w:ascii="Times New Roman" w:hAnsi="Times New Roman"/>
                <w:u w:val="single"/>
              </w:rPr>
              <w:t>*</w:t>
            </w:r>
            <w:r>
              <w:fldChar w:fldCharType="end"/>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&gt;6,0</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&gt;6,2</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&gt;96,0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&gt;165</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&gt;1,5</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&gt;330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&gt;200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&gt;1000</w:t>
            </w:r>
          </w:p>
        </w:tc>
      </w:tr>
      <w:tr>
        <w:trPr/>
        <w:tc>
          <w:tcPr>
            <w:tcW w:w="10267" w:type="dxa"/>
            <w:gridSpan w:val="9"/>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 суглинистых и глинистых почвах рН менее 5,5 (валовые формы)</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Нормальн.</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2,5-5,0</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32-65</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55-100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0,5-1,0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33-66</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20-40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Средний</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5,1-10,0</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66-130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111-220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1,1-2,0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67-330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41-200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Высокий</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10,1- 15,0</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131-195</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221-330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2,1-3,0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331-660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201-400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Оч. высокий</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&gt;15</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&gt;195</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&gt;330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&gt;3,0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&gt;660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10267" w:type="dxa"/>
            <w:gridSpan w:val="9"/>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 суглинистых и глинистых почвах, рН более 5,5 (валовые формы)</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Нормальн.</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5-10</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65-130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110-220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1,0-2,0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66-132</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40-80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Средний</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11-20</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131-260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221-400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2,1-4,0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133-660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81-400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Высокий</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21-30</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261-390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401-660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4,1-6,0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661-1320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401-800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Оч. высокий</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&gt;30</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&gt;390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&gt;660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&gt;6,0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&gt;1320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&gt;800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r>
      <w:tr>
        <w:trPr/>
        <w:tc>
          <w:tcPr>
            <w:tcW w:w="10267" w:type="dxa"/>
            <w:gridSpan w:val="9"/>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Подвижные формы</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Нормальн.</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3,0-6,0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10,0-23,0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1,5-3,0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2,0-4,0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3,0-6,0</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Средний</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6,1-12,0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24,0-46,0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3,1-15,0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4,1-20,0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6,1-30,0</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Высокий</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12,1-18,0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47,0-69,0</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15,1-30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20,1-40,0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31,0-60,0</w:t>
            </w:r>
          </w:p>
        </w:tc>
      </w:tr>
      <w:tr>
        <w:trPr/>
        <w:tc>
          <w:tcPr>
            <w:tcW w:w="20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Оч. высокий</w:t>
            </w:r>
          </w:p>
        </w:tc>
        <w:tc>
          <w:tcPr>
            <w:tcW w:w="12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8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0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&gt;18,0</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&gt;69</w:t>
            </w:r>
          </w:p>
        </w:tc>
        <w:tc>
          <w:tcPr>
            <w:tcW w:w="10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9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&gt;30,0</w:t>
            </w:r>
          </w:p>
        </w:tc>
        <w:tc>
          <w:tcPr>
            <w:tcW w:w="10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&gt;40,0</w:t>
            </w:r>
          </w:p>
        </w:tc>
        <w:tc>
          <w:tcPr>
            <w:tcW w:w="9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&gt;60,0</w:t>
            </w:r>
          </w:p>
        </w:tc>
      </w:tr>
      <w:tr>
        <w:trPr/>
        <w:tc>
          <w:tcPr>
            <w:tcW w:w="10267" w:type="dxa"/>
            <w:gridSpan w:val="9"/>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Нормальный уровень - нормальное развитие растения, Средний - уменьшение урожайности семян, поражение корневой системы, Высокий - изменения морфологии растения, Очень высокий - гибель растения.</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ind w:hanging="0"/>
        <w:rPr/>
      </w:pPr>
      <w:r>
        <w:rPr>
          <w:rFonts w:eastAsia="Times New Roman" w:cs="Times New Roman" w:ascii="Times New Roman" w:hAnsi="Times New Roman"/>
          <w:b/>
          <w:lang w:eastAsia="ru-RU"/>
        </w:rPr>
        <w:t>ТАБЛИЦА 7</w:t>
      </w:r>
    </w:p>
    <w:p>
      <w:pPr>
        <w:pStyle w:val="Style61"/>
        <w:spacing w:before="0" w:after="0"/>
        <w:jc w:val="center"/>
        <w:rPr/>
      </w:pPr>
      <w:r>
        <w:rPr/>
        <w:t>ТИПЫ КОНСТРУКЦИЙ УРБОКОНСТРУКТОЗЕМОВ ДЛЯ СОЗДАНИЯ СПОРТИВНЫХ ГАЗОНОВ</w:t>
      </w:r>
    </w:p>
    <w:tbl>
      <w:tblPr>
        <w:tblW w:w="9385"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1857"/>
        <w:gridCol w:w="1700"/>
        <w:gridCol w:w="1845"/>
        <w:gridCol w:w="1983"/>
        <w:gridCol w:w="2000"/>
      </w:tblGrid>
      <w:tr>
        <w:trPr/>
        <w:tc>
          <w:tcPr>
            <w:tcW w:w="9385"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В сантиметрах</w:t>
            </w:r>
          </w:p>
        </w:tc>
      </w:tr>
      <w:tr>
        <w:trPr>
          <w:trHeight w:val="691" w:hRule="atLeast"/>
        </w:trPr>
        <w:tc>
          <w:tcPr>
            <w:tcW w:w="185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Тип коренной породы</w:t>
            </w:r>
          </w:p>
        </w:tc>
        <w:tc>
          <w:tcPr>
            <w:tcW w:w="7528"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Глубина по профилю, см</w:t>
            </w:r>
          </w:p>
        </w:tc>
      </w:tr>
      <w:tr>
        <w:trPr/>
        <w:tc>
          <w:tcPr>
            <w:tcW w:w="185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7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0-15</w:t>
            </w:r>
          </w:p>
        </w:tc>
        <w:tc>
          <w:tcPr>
            <w:tcW w:w="1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16-30</w:t>
            </w:r>
          </w:p>
        </w:tc>
        <w:tc>
          <w:tcPr>
            <w:tcW w:w="19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31-45</w:t>
            </w:r>
          </w:p>
        </w:tc>
        <w:tc>
          <w:tcPr>
            <w:tcW w:w="20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46-60</w:t>
            </w:r>
          </w:p>
        </w:tc>
      </w:tr>
      <w:tr>
        <w:trPr/>
        <w:tc>
          <w:tcPr>
            <w:tcW w:w="185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Среднесуглинистые со средней фильтрацией</w:t>
            </w:r>
          </w:p>
        </w:tc>
        <w:tc>
          <w:tcPr>
            <w:tcW w:w="17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Гумусcированный слой</w:t>
            </w:r>
          </w:p>
        </w:tc>
        <w:tc>
          <w:tcPr>
            <w:tcW w:w="1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Коренная порода среднесуглинистая</w:t>
            </w:r>
          </w:p>
        </w:tc>
        <w:tc>
          <w:tcPr>
            <w:tcW w:w="19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Коренная порода среднесуглинистая</w:t>
            </w:r>
          </w:p>
        </w:tc>
        <w:tc>
          <w:tcPr>
            <w:tcW w:w="20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Коренная порода среднесуглинистая</w:t>
            </w:r>
          </w:p>
        </w:tc>
      </w:tr>
      <w:tr>
        <w:trPr/>
        <w:tc>
          <w:tcPr>
            <w:tcW w:w="185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Песчаные хорошо фильтрующие грунты</w:t>
            </w:r>
          </w:p>
        </w:tc>
        <w:tc>
          <w:tcPr>
            <w:tcW w:w="17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Гумусcированный слой</w:t>
            </w:r>
          </w:p>
        </w:tc>
        <w:tc>
          <w:tcPr>
            <w:tcW w:w="1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Среднесуглинистый почвообразующий слой</w:t>
            </w:r>
          </w:p>
        </w:tc>
        <w:tc>
          <w:tcPr>
            <w:tcW w:w="19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Коренная порода песчаная</w:t>
            </w:r>
          </w:p>
        </w:tc>
        <w:tc>
          <w:tcPr>
            <w:tcW w:w="20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Коренная порода песчаная</w:t>
            </w:r>
          </w:p>
        </w:tc>
      </w:tr>
      <w:tr>
        <w:trPr/>
        <w:tc>
          <w:tcPr>
            <w:tcW w:w="185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Тяжелосуглинистые плохо фильтрующие грунты</w:t>
            </w:r>
          </w:p>
        </w:tc>
        <w:tc>
          <w:tcPr>
            <w:tcW w:w="17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Гумуссированный слой</w:t>
            </w:r>
          </w:p>
        </w:tc>
        <w:tc>
          <w:tcPr>
            <w:tcW w:w="1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Среднесуглинистый почвообразующий слой</w:t>
            </w:r>
          </w:p>
        </w:tc>
        <w:tc>
          <w:tcPr>
            <w:tcW w:w="19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Дренирующий слой из щебня и песка</w:t>
            </w:r>
          </w:p>
        </w:tc>
        <w:tc>
          <w:tcPr>
            <w:tcW w:w="20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sz w:val="20"/>
                <w:szCs w:val="20"/>
              </w:rPr>
              <w:t>Коренная порода тяжелосуглинистая</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8</w:t>
      </w:r>
    </w:p>
    <w:p>
      <w:pPr>
        <w:pStyle w:val="Style61"/>
        <w:spacing w:before="0" w:after="0"/>
        <w:jc w:val="center"/>
        <w:rPr/>
      </w:pPr>
      <w:r>
        <w:rPr/>
        <w:t>ДОПУСТИМЫЕ КОНЦЕНТРАЦИИ ТЯЖЕЛЫХ МЕТАЛЛОВ И МЫШЬЯКА В ПОЧВАХ ТУРИСТИЧЕСКИХ ДЕРЕВЕНЬ</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3935"/>
        <w:gridCol w:w="1019"/>
        <w:gridCol w:w="921"/>
        <w:gridCol w:w="927"/>
        <w:gridCol w:w="3"/>
        <w:gridCol w:w="1018"/>
        <w:gridCol w:w="1273"/>
        <w:gridCol w:w="1171"/>
      </w:tblGrid>
      <w:tr>
        <w:trPr/>
        <w:tc>
          <w:tcPr>
            <w:tcW w:w="10267" w:type="dxa"/>
            <w:gridSpan w:val="8"/>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В миллиграммах на килограмм</w:t>
            </w:r>
          </w:p>
        </w:tc>
      </w:tr>
      <w:tr>
        <w:trPr/>
        <w:tc>
          <w:tcPr>
            <w:tcW w:w="393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Уровни концентрации тяжелых металлов и мышьяка</w:t>
            </w:r>
          </w:p>
        </w:tc>
        <w:tc>
          <w:tcPr>
            <w:tcW w:w="6332" w:type="dxa"/>
            <w:gridSpan w:val="7"/>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Содержание</w:t>
            </w:r>
          </w:p>
        </w:tc>
      </w:tr>
      <w:tr>
        <w:trPr/>
        <w:tc>
          <w:tcPr>
            <w:tcW w:w="393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2870"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 Класс опасности</w:t>
            </w:r>
          </w:p>
        </w:tc>
        <w:tc>
          <w:tcPr>
            <w:tcW w:w="3462"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 Класс опасности</w:t>
            </w:r>
          </w:p>
        </w:tc>
      </w:tr>
      <w:tr>
        <w:trPr/>
        <w:tc>
          <w:tcPr>
            <w:tcW w:w="393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10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никель</w:t>
            </w:r>
          </w:p>
        </w:tc>
        <w:tc>
          <w:tcPr>
            <w:tcW w:w="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медь</w:t>
            </w:r>
          </w:p>
        </w:tc>
        <w:tc>
          <w:tcPr>
            <w:tcW w:w="9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цинк</w:t>
            </w:r>
          </w:p>
        </w:tc>
        <w:tc>
          <w:tcPr>
            <w:tcW w:w="10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свинец</w:t>
            </w:r>
          </w:p>
        </w:tc>
        <w:tc>
          <w:tcPr>
            <w:tcW w:w="12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кадмий</w:t>
            </w:r>
          </w:p>
        </w:tc>
        <w:tc>
          <w:tcPr>
            <w:tcW w:w="11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мышьяк</w:t>
            </w:r>
          </w:p>
        </w:tc>
      </w:tr>
      <w:tr>
        <w:trPr/>
        <w:tc>
          <w:tcPr>
            <w:tcW w:w="39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Фоновое содержание в песчаных и супесчаных почвах</w:t>
            </w:r>
          </w:p>
        </w:tc>
        <w:tc>
          <w:tcPr>
            <w:tcW w:w="10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5-10 ср. 6</w:t>
            </w:r>
          </w:p>
        </w:tc>
        <w:tc>
          <w:tcPr>
            <w:tcW w:w="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5-12 ср. 8</w:t>
            </w:r>
          </w:p>
        </w:tc>
        <w:tc>
          <w:tcPr>
            <w:tcW w:w="9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25-30 ср. 28</w:t>
            </w:r>
          </w:p>
        </w:tc>
        <w:tc>
          <w:tcPr>
            <w:tcW w:w="10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4-9 ср. 6</w:t>
            </w:r>
          </w:p>
        </w:tc>
        <w:tc>
          <w:tcPr>
            <w:tcW w:w="12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0,01-0,1 ср. 0,05</w:t>
            </w:r>
          </w:p>
        </w:tc>
        <w:tc>
          <w:tcPr>
            <w:tcW w:w="11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0,9-1,7 ср. 1,5</w:t>
            </w:r>
          </w:p>
        </w:tc>
      </w:tr>
      <w:tr>
        <w:trPr/>
        <w:tc>
          <w:tcPr>
            <w:tcW w:w="39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Фоновое содержание в суглинистых и глинистых почвах</w:t>
            </w:r>
          </w:p>
        </w:tc>
        <w:tc>
          <w:tcPr>
            <w:tcW w:w="10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15-25 ср. 20</w:t>
            </w:r>
          </w:p>
        </w:tc>
        <w:tc>
          <w:tcPr>
            <w:tcW w:w="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12-30 ср. 20</w:t>
            </w:r>
          </w:p>
        </w:tc>
        <w:tc>
          <w:tcPr>
            <w:tcW w:w="9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30-60 ср. 45</w:t>
            </w:r>
          </w:p>
        </w:tc>
        <w:tc>
          <w:tcPr>
            <w:tcW w:w="102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12-30 ср. 20</w:t>
            </w:r>
          </w:p>
        </w:tc>
        <w:tc>
          <w:tcPr>
            <w:tcW w:w="12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0,09-0,3 ср. 0,22</w:t>
            </w:r>
          </w:p>
        </w:tc>
        <w:tc>
          <w:tcPr>
            <w:tcW w:w="11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1,2-3,2 ср. 2.2</w:t>
            </w:r>
          </w:p>
        </w:tc>
      </w:tr>
    </w:tbl>
    <w:p>
      <w:pPr>
        <w:pStyle w:val="Normal"/>
        <w:rPr>
          <w:rFonts w:ascii="Times New Roman" w:hAnsi="Times New Roman" w:eastAsia="Times New Roman" w:cs="Times New Roman"/>
        </w:rPr>
      </w:pPr>
      <w:r>
        <w:rPr>
          <w:rFonts w:eastAsia="Times New Roman" w:cs="Times New Roman" w:ascii="Times New Roman" w:hAnsi="Times New Roman"/>
        </w:rPr>
      </w:r>
      <w:r>
        <w:br w:type="page"/>
      </w:r>
    </w:p>
    <w:p>
      <w:pPr>
        <w:pStyle w:val="Style99"/>
        <w:rPr/>
      </w:pPr>
      <w:r>
        <w:rPr>
          <w:rFonts w:eastAsia="Times New Roman" w:cs="Times New Roman" w:ascii="Times New Roman" w:hAnsi="Times New Roman"/>
          <w:lang w:eastAsia="ru-RU"/>
        </w:rPr>
        <w:t>Приложение 5</w:t>
      </w:r>
    </w:p>
    <w:p>
      <w:pPr>
        <w:pStyle w:val="Style99"/>
        <w:spacing w:lineRule="auto" w:line="240"/>
        <w:rPr/>
      </w:pPr>
      <w:r>
        <w:rPr>
          <w:rFonts w:eastAsia="Times New Roman" w:cs="Times New Roman" w:ascii="Times New Roman" w:hAnsi="Times New Roman"/>
          <w:lang w:eastAsia="ru-RU"/>
        </w:rPr>
        <w:t>к части 4 Правил использования земельных участков</w:t>
      </w:r>
    </w:p>
    <w:p>
      <w:pPr>
        <w:pStyle w:val="Style99"/>
        <w:spacing w:lineRule="auto" w:line="240"/>
        <w:rPr/>
      </w:pPr>
      <w:r>
        <w:rPr>
          <w:rFonts w:eastAsia="Times New Roman" w:cs="Times New Roman" w:ascii="Times New Roman" w:hAnsi="Times New Roman"/>
          <w:lang w:eastAsia="ru-RU"/>
        </w:rPr>
        <w:t>в границах Всесезонного туристско-рекреационного</w:t>
      </w:r>
    </w:p>
    <w:p>
      <w:pPr>
        <w:pStyle w:val="Style99"/>
        <w:spacing w:lineRule="auto" w:line="240"/>
        <w:rPr/>
      </w:pPr>
      <w:r>
        <w:rPr>
          <w:rFonts w:eastAsia="Times New Roman" w:cs="Times New Roman" w:ascii="Times New Roman" w:hAnsi="Times New Roman"/>
          <w:lang w:eastAsia="ru-RU"/>
        </w:rPr>
        <w:t>комплекса «Архыз»</w:t>
      </w:r>
    </w:p>
    <w:p>
      <w:pPr>
        <w:pStyle w:val="Style61"/>
        <w:rPr/>
      </w:pPr>
      <w:r>
        <w:rPr/>
      </w:r>
    </w:p>
    <w:p>
      <w:pPr>
        <w:pStyle w:val="Style61"/>
        <w:spacing w:before="0" w:after="0"/>
        <w:jc w:val="center"/>
        <w:rPr/>
      </w:pPr>
      <w:r>
        <w:rPr/>
        <w:t>ПРИЕМЫ БЛАГОУСТРОЙСТВА НА ТЕРРИТОРИЯХ РЕКРЕАЦИОННОГО НАЗНАЧЕНИЯ</w:t>
      </w:r>
    </w:p>
    <w:p>
      <w:pPr>
        <w:pStyle w:val="Style99"/>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Style99"/>
        <w:spacing w:lineRule="auto" w:line="240"/>
        <w:rPr/>
      </w:pPr>
      <w:r>
        <w:rPr>
          <w:rFonts w:eastAsia="Times New Roman" w:cs="Times New Roman" w:ascii="Times New Roman" w:hAnsi="Times New Roman"/>
          <w:b/>
          <w:lang w:eastAsia="ru-RU"/>
        </w:rPr>
        <w:t>ТАБЛИЦА 1</w:t>
      </w:r>
    </w:p>
    <w:p>
      <w:pPr>
        <w:pStyle w:val="Style61"/>
        <w:spacing w:before="0" w:after="0"/>
        <w:jc w:val="center"/>
        <w:rPr/>
      </w:pPr>
      <w:r>
        <w:rPr/>
        <w:t>ОРГАНИЗАЦИЯ АЛЛЕЙ И ДОРОГ ПАРКА, ЛЕСОПАРКА И ДРУГИХ КРУПНЫХ ОБЪЕКТОВ РЕКРЕАЦИИ</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1941"/>
        <w:gridCol w:w="989"/>
        <w:gridCol w:w="3327"/>
        <w:gridCol w:w="4010"/>
      </w:tblGrid>
      <w:tr>
        <w:trPr/>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Типы аллей и дорог</w:t>
            </w:r>
          </w:p>
        </w:tc>
        <w:tc>
          <w:tcPr>
            <w:tcW w:w="9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Ширина (м)</w:t>
            </w:r>
          </w:p>
        </w:tc>
        <w:tc>
          <w:tcPr>
            <w:tcW w:w="33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Назначение</w:t>
            </w:r>
          </w:p>
        </w:tc>
        <w:tc>
          <w:tcPr>
            <w:tcW w:w="40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Рекомендации по благоустройству</w:t>
            </w:r>
          </w:p>
        </w:tc>
      </w:tr>
      <w:tr>
        <w:trPr/>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Основные пешеходные аллеи и дороги</w:t>
            </w:r>
            <w:r>
              <w:fldChar w:fldCharType="begin"/>
            </w:r>
            <w:r>
              <w:instrText> HYPERLINK "http://www.garant.ru/products/ipo/prime/doc/70018446/" \l "6666"</w:instrText>
            </w:r>
            <w:r>
              <w:fldChar w:fldCharType="separate"/>
            </w:r>
            <w:r>
              <w:rPr>
                <w:rStyle w:val="Style5"/>
                <w:rFonts w:eastAsia="Times New Roman" w:cs="Times New Roman" w:ascii="Times New Roman" w:hAnsi="Times New Roman"/>
                <w:u w:val="single"/>
              </w:rPr>
              <w:t>*</w:t>
            </w:r>
            <w:r>
              <w:fldChar w:fldCharType="end"/>
            </w:r>
          </w:p>
        </w:tc>
        <w:tc>
          <w:tcPr>
            <w:tcW w:w="9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6-9</w:t>
            </w:r>
          </w:p>
        </w:tc>
        <w:tc>
          <w:tcPr>
            <w:tcW w:w="33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Интенсивное пешеходное движение (более 300 ч/час). Допускается проезд внутрипаркового транспорта. Соединяет функциональные зоны и участки между собой, те и другие с основными входами.</w:t>
            </w:r>
          </w:p>
        </w:tc>
        <w:tc>
          <w:tcPr>
            <w:tcW w:w="40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Допускаются зеленые разделительные полосы шириной порядка 2 м, через каждые 25-30 м - проходы. Если аллея на берегу водоема, ее поперечный профиль может быть решен в разных уровнях, которые связаны откосами, стенками и лестницами. Покрытие: твердое (плитка, асфальтобетон) с обрамлением бортовым камнем. Обрезка ветвей на высоту 2,5 м.</w:t>
            </w:r>
          </w:p>
        </w:tc>
      </w:tr>
      <w:tr>
        <w:trPr/>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Второстепенные аллеи и дороги</w:t>
            </w:r>
            <w:r>
              <w:fldChar w:fldCharType="begin"/>
            </w:r>
            <w:r>
              <w:instrText> HYPERLINK "http://www.garant.ru/products/ipo/prime/doc/70018446/" \l "6666"</w:instrText>
            </w:r>
            <w:r>
              <w:fldChar w:fldCharType="separate"/>
            </w:r>
            <w:r>
              <w:rPr>
                <w:rStyle w:val="Style5"/>
                <w:rFonts w:eastAsia="Times New Roman" w:cs="Times New Roman" w:ascii="Times New Roman" w:hAnsi="Times New Roman"/>
                <w:u w:val="single"/>
              </w:rPr>
              <w:t>*</w:t>
            </w:r>
            <w:r>
              <w:fldChar w:fldCharType="end"/>
            </w:r>
          </w:p>
        </w:tc>
        <w:tc>
          <w:tcPr>
            <w:tcW w:w="9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3-4,5</w:t>
            </w:r>
          </w:p>
        </w:tc>
        <w:tc>
          <w:tcPr>
            <w:tcW w:w="33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Интенсивное пешеходное движение (до 300 ч/час). Допускается проезд эксплуатационного транспорта. Соединяют второстепенные входы и парковые объекты между собой.</w:t>
            </w:r>
          </w:p>
        </w:tc>
        <w:tc>
          <w:tcPr>
            <w:tcW w:w="40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Трассируются по живописным местам, могут иметь криволинейные очертания Покрытие: твердое (плитка, асфальтобетон), щебеночное, обработанное вяжущими. Обрезка ветвей на высоту 2,0-2,5 м. Садовый борт, бордюры из цветов и трав, водоотводные лотки или др.</w:t>
            </w:r>
          </w:p>
        </w:tc>
      </w:tr>
      <w:tr>
        <w:trPr/>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Дополнительные пешеходные дороги</w:t>
            </w:r>
          </w:p>
        </w:tc>
        <w:tc>
          <w:tcPr>
            <w:tcW w:w="9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1,5-2,5</w:t>
            </w:r>
          </w:p>
        </w:tc>
        <w:tc>
          <w:tcPr>
            <w:tcW w:w="33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Пешеходное движение малой интенсивности. Проезд транспорта не допускается. Подводят к отдельным парковым сооружениям.</w:t>
            </w:r>
          </w:p>
        </w:tc>
        <w:tc>
          <w:tcPr>
            <w:tcW w:w="40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80%о. Покрытие: плитка, грунтовое улучшенное</w:t>
            </w:r>
          </w:p>
        </w:tc>
      </w:tr>
      <w:tr>
        <w:trPr/>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Тропы</w:t>
            </w:r>
          </w:p>
        </w:tc>
        <w:tc>
          <w:tcPr>
            <w:tcW w:w="9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0,75-1,0</w:t>
            </w:r>
          </w:p>
        </w:tc>
        <w:tc>
          <w:tcPr>
            <w:tcW w:w="33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Дополнительная прогулочная сеть с естественным характером ландшафта.</w:t>
            </w:r>
          </w:p>
        </w:tc>
        <w:tc>
          <w:tcPr>
            <w:tcW w:w="40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Трассируется по крутым склонам, через чаши, овраги, ручьи. Покрытие: грунтовое естественное.</w:t>
            </w:r>
          </w:p>
        </w:tc>
      </w:tr>
      <w:tr>
        <w:trPr/>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Велосипедные дорожки</w:t>
            </w:r>
          </w:p>
        </w:tc>
        <w:tc>
          <w:tcPr>
            <w:tcW w:w="9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1,5-2,25</w:t>
            </w:r>
          </w:p>
        </w:tc>
        <w:tc>
          <w:tcPr>
            <w:tcW w:w="33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Велосипедные прогулки</w:t>
            </w:r>
          </w:p>
        </w:tc>
        <w:tc>
          <w:tcPr>
            <w:tcW w:w="40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Трассирование замкнутое (кольцевое, петельное, восьмерочное). Рекомендуется пункт техобслуживания. Покрытие твердое. Обрезка ветвей на высоту 2,5 м.</w:t>
            </w:r>
          </w:p>
        </w:tc>
      </w:tr>
      <w:tr>
        <w:trPr/>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Дороги для конной езды</w:t>
            </w:r>
          </w:p>
        </w:tc>
        <w:tc>
          <w:tcPr>
            <w:tcW w:w="9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4,0-6,0</w:t>
            </w:r>
          </w:p>
        </w:tc>
        <w:tc>
          <w:tcPr>
            <w:tcW w:w="33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Прогулки верхом, в экипажах, санях. Допускается проезд эксплуатационного транспорта.</w:t>
            </w:r>
          </w:p>
        </w:tc>
        <w:tc>
          <w:tcPr>
            <w:tcW w:w="40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Наибольшие продольные уклоны до 60%о. Обрезка ветвей на высоту 4 м. Покрытие: грунтовое улучшенное.</w:t>
            </w:r>
          </w:p>
        </w:tc>
      </w:tr>
      <w:tr>
        <w:trPr/>
        <w:tc>
          <w:tcPr>
            <w:tcW w:w="1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Автомобильная дорога (парквей)</w:t>
            </w:r>
          </w:p>
        </w:tc>
        <w:tc>
          <w:tcPr>
            <w:tcW w:w="9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4,5-7,0</w:t>
            </w:r>
          </w:p>
        </w:tc>
        <w:tc>
          <w:tcPr>
            <w:tcW w:w="33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Автомобильные прогулки и проезд внутрипаркового транспорта Допускается проезд эксплуатационного транспорта</w:t>
            </w:r>
          </w:p>
        </w:tc>
        <w:tc>
          <w:tcPr>
            <w:tcW w:w="40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Трассируется по периферии лесопарка в стороне от пешеходных коммуникаций. Наибольший продольный уклон 70%о, макс, скорость - 40 км/час. Радиусы закруглений - не менее 15 м. Покрытие: асфальтобетон, щебеночное, гравийное, обработка вяжущими, бордюрный камень.</w:t>
            </w:r>
          </w:p>
        </w:tc>
      </w:tr>
      <w:tr>
        <w:trPr/>
        <w:tc>
          <w:tcPr>
            <w:tcW w:w="10267"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Примечания: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 м. 2. На типах аллей и дорог, помеченных знаком "*", допускается катание на роликовых досках, коньках, самокатах, помимо специально оборудованных территорий. 3. Автомобильные дороги следует предусматривать в лесопарках с размером территории более 100 га.</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2</w:t>
      </w:r>
    </w:p>
    <w:p>
      <w:pPr>
        <w:pStyle w:val="Style61"/>
        <w:spacing w:before="0" w:after="0"/>
        <w:jc w:val="center"/>
        <w:rPr/>
      </w:pPr>
      <w:r>
        <w:rPr/>
        <w:t>ОРГАНИЗАЦИЯ ПЛОЩАДОК ПАРКА</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1751"/>
        <w:gridCol w:w="2828"/>
        <w:gridCol w:w="2921"/>
        <w:gridCol w:w="1532"/>
        <w:gridCol w:w="1236"/>
      </w:tblGrid>
      <w:tr>
        <w:trPr/>
        <w:tc>
          <w:tcPr>
            <w:tcW w:w="10268"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В кв. метрах</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Парковые площади и площадки</w:t>
            </w:r>
          </w:p>
        </w:tc>
        <w:tc>
          <w:tcPr>
            <w:tcW w:w="28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Назначение</w:t>
            </w:r>
          </w:p>
        </w:tc>
        <w:tc>
          <w:tcPr>
            <w:tcW w:w="2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Элементы благоустройства</w:t>
            </w:r>
          </w:p>
        </w:tc>
        <w:tc>
          <w:tcPr>
            <w:tcW w:w="15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Размеры</w:t>
            </w:r>
          </w:p>
        </w:tc>
        <w:tc>
          <w:tcPr>
            <w:tcW w:w="1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Мин. норма на посетителя</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Основные площадки</w:t>
            </w:r>
          </w:p>
        </w:tc>
        <w:tc>
          <w:tcPr>
            <w:tcW w:w="28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Центры парковой планировки, размещаются на пересечении аллей, у входной части парка, перед сооружениями</w:t>
            </w:r>
          </w:p>
        </w:tc>
        <w:tc>
          <w:tcPr>
            <w:tcW w:w="2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Бассейны, фонтаны, скульптура, партерная зелень, цветники, парадное и декоративное освещение. Покрытие: плиточное мощение, бортовой камень</w:t>
            </w:r>
          </w:p>
        </w:tc>
        <w:tc>
          <w:tcPr>
            <w:tcW w:w="15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 учетом пропускной способности отходящих от входа аллей</w:t>
            </w:r>
          </w:p>
        </w:tc>
        <w:tc>
          <w:tcPr>
            <w:tcW w:w="1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Площади массовых мероприятий</w:t>
            </w:r>
          </w:p>
        </w:tc>
        <w:tc>
          <w:tcPr>
            <w:tcW w:w="28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Проведение концертов, праздников, большие размеры. Формируется в виде лугового пространства или площади регулярного очертания. Связь по главной аллее.</w:t>
            </w:r>
          </w:p>
        </w:tc>
        <w:tc>
          <w:tcPr>
            <w:tcW w:w="2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Осветительное оборудование (фонари, прожекторы). Посадки - по периметру. Покрытие: газонное, твердое (плитка), комбинированное.</w:t>
            </w:r>
          </w:p>
        </w:tc>
        <w:tc>
          <w:tcPr>
            <w:tcW w:w="15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1200-5000</w:t>
            </w:r>
          </w:p>
        </w:tc>
        <w:tc>
          <w:tcPr>
            <w:tcW w:w="1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1,0-2,5</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Площадки отдыха, лужайки</w:t>
            </w:r>
          </w:p>
        </w:tc>
        <w:tc>
          <w:tcPr>
            <w:tcW w:w="28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 различных частях парка. Виды площадок: - регулярной планировки с регулярным озеленением; - регулярн. планировки с обрамлением свободными группами растений; - свободной планировки с обрамлением свободными группами растений</w:t>
            </w:r>
          </w:p>
        </w:tc>
        <w:tc>
          <w:tcPr>
            <w:tcW w:w="2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Везде: освещение, беседки, перголы, трельяжи, скамьи, урны Декоративное оформление в центре (цветник, фонтан, скульптура, вазон). Покрытие: мощение плиткой, бортовой камень, бордюры из цветов и трав. На площадках-лужайках - газон</w:t>
            </w:r>
          </w:p>
        </w:tc>
        <w:tc>
          <w:tcPr>
            <w:tcW w:w="15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20-200</w:t>
            </w:r>
          </w:p>
        </w:tc>
        <w:tc>
          <w:tcPr>
            <w:tcW w:w="1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5-20</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Танцевальные площадки, сооружения</w:t>
            </w:r>
          </w:p>
        </w:tc>
        <w:tc>
          <w:tcPr>
            <w:tcW w:w="28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Размещаются рядом с главными или второстепенными аллеями</w:t>
            </w:r>
          </w:p>
        </w:tc>
        <w:tc>
          <w:tcPr>
            <w:tcW w:w="2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Освещение, ограждение, скамьи, урны. Покрытие: специальное.</w:t>
            </w:r>
          </w:p>
        </w:tc>
        <w:tc>
          <w:tcPr>
            <w:tcW w:w="15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150-500</w:t>
            </w:r>
          </w:p>
        </w:tc>
        <w:tc>
          <w:tcPr>
            <w:tcW w:w="1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2,0</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Игровые площадки для детей:</w:t>
            </w:r>
          </w:p>
        </w:tc>
        <w:tc>
          <w:tcPr>
            <w:tcW w:w="282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Малоподвижные индивидуальные, подвижные коллективные игры. Размещение вдоль второстепенных аллей</w:t>
            </w:r>
          </w:p>
        </w:tc>
        <w:tc>
          <w:tcPr>
            <w:tcW w:w="2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Игровое, физкультурно-оздоровительное оборудование, освещение, скамьи, урны.</w:t>
            </w:r>
          </w:p>
        </w:tc>
        <w:tc>
          <w:tcPr>
            <w:tcW w:w="15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до 3 лет</w:t>
            </w:r>
          </w:p>
        </w:tc>
        <w:tc>
          <w:tcPr>
            <w:tcW w:w="28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2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Покрытие: песчаное, грунтовое улучшенное, газон.</w:t>
            </w:r>
          </w:p>
        </w:tc>
        <w:tc>
          <w:tcPr>
            <w:tcW w:w="15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10-100</w:t>
            </w:r>
          </w:p>
        </w:tc>
        <w:tc>
          <w:tcPr>
            <w:tcW w:w="1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3,0</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- 4-6 лет</w:t>
            </w:r>
          </w:p>
        </w:tc>
        <w:tc>
          <w:tcPr>
            <w:tcW w:w="28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2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5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120-300</w:t>
            </w:r>
          </w:p>
        </w:tc>
        <w:tc>
          <w:tcPr>
            <w:tcW w:w="1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5,0</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- 7-14 лет</w:t>
            </w:r>
          </w:p>
        </w:tc>
        <w:tc>
          <w:tcPr>
            <w:tcW w:w="28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292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   </w:t>
            </w:r>
          </w:p>
        </w:tc>
        <w:tc>
          <w:tcPr>
            <w:tcW w:w="15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500-2000</w:t>
            </w:r>
          </w:p>
        </w:tc>
        <w:tc>
          <w:tcPr>
            <w:tcW w:w="1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Игровые комплексы для детей до 14 лет</w:t>
            </w:r>
          </w:p>
        </w:tc>
        <w:tc>
          <w:tcPr>
            <w:tcW w:w="28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Подвижные коллективные игры</w:t>
            </w:r>
          </w:p>
        </w:tc>
        <w:tc>
          <w:tcPr>
            <w:tcW w:w="292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15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1200-1700</w:t>
            </w:r>
          </w:p>
        </w:tc>
        <w:tc>
          <w:tcPr>
            <w:tcW w:w="1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15,0</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Спортивно-игровые для детей и подростков 10-17 лет, для взрослых</w:t>
            </w:r>
          </w:p>
        </w:tc>
        <w:tc>
          <w:tcPr>
            <w:tcW w:w="28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Различные подвижные игры и развлечения, в т.ч. велодромы, скалодромы, минирампы, катание на роликовых коньках и пр.</w:t>
            </w:r>
          </w:p>
        </w:tc>
        <w:tc>
          <w:tcPr>
            <w:tcW w:w="2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Специальное оборудование и благоустройство, рассчитанное на конкретное спортивно-игровое использование</w:t>
            </w:r>
          </w:p>
        </w:tc>
        <w:tc>
          <w:tcPr>
            <w:tcW w:w="15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150-7000</w:t>
            </w:r>
          </w:p>
        </w:tc>
        <w:tc>
          <w:tcPr>
            <w:tcW w:w="12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10,0</w:t>
            </w:r>
          </w:p>
        </w:tc>
      </w:tr>
      <w:tr>
        <w:trPr/>
        <w:tc>
          <w:tcPr>
            <w:tcW w:w="17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Предпарковые площади с автостоянкой</w:t>
            </w:r>
          </w:p>
        </w:tc>
        <w:tc>
          <w:tcPr>
            <w:tcW w:w="28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 входов в парк, у мест пересечения подъездов к парку с городским транспортом</w:t>
            </w:r>
          </w:p>
        </w:tc>
        <w:tc>
          <w:tcPr>
            <w:tcW w:w="29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Покрытие: асфальтобетонное, плиточное, плитки и соты, утопленные в газон - оборудованы бортовым камнем</w:t>
            </w:r>
          </w:p>
        </w:tc>
        <w:tc>
          <w:tcPr>
            <w:tcW w:w="276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Определяются транспортными требованиями и графиком движения транспорта</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r>
        <w:br w:type="page"/>
      </w:r>
    </w:p>
    <w:p>
      <w:pPr>
        <w:pStyle w:val="Style99"/>
        <w:spacing w:lineRule="auto" w:line="240"/>
        <w:rPr/>
      </w:pPr>
      <w:r>
        <w:rPr>
          <w:rFonts w:eastAsia="Times New Roman" w:cs="Times New Roman" w:ascii="Times New Roman" w:hAnsi="Times New Roman"/>
          <w:b/>
          <w:lang w:eastAsia="ru-RU"/>
        </w:rPr>
        <w:t>ТАБЛИЦА 3</w:t>
      </w:r>
    </w:p>
    <w:p>
      <w:pPr>
        <w:pStyle w:val="Style61"/>
        <w:spacing w:before="0" w:after="0"/>
        <w:jc w:val="center"/>
        <w:rPr/>
      </w:pPr>
      <w:r>
        <w:rPr/>
        <w:t>ПЛОЩАДИ И ПРОПУСКНАЯ СПОСОБНОСТЬ ПАРКОВЫХ СООРУЖЕНИЙ И ПЛОЩАДОК</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3013"/>
        <w:gridCol w:w="4059"/>
        <w:gridCol w:w="3196"/>
      </w:tblGrid>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Наименование объектов и сооружений</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Пропускная способность одного места или объекта (человек в день)</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Норма площади в кв.м на одно место или один объект</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3</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Аттракцион крупный</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250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800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Малый</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Бассейн для плавания: открытый</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50x5</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25x10 50x100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Игротека</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Площадка для хорового пения</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Площадка (терраса, зал) для танцев</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4,0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1,5</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Открытый театр</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Летний кинотеатр (без фойе)</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1,2</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Летний цирк</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1,5</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Выставочный павильон</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Открытый лекторий</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3,0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0,5</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Павильон для чтения и тихих игр</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3,0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Кафе</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2,5</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Торговый киоск</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50,0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Киоск-библиотека</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50,0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Касса</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120,0 (в 1 час)</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Туалет</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20,0 (в 1 час)</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1,2</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Беседки для отдыха</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Водно-лыжная станция</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4,0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Физкультурно-тренажерный зал</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3,0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Летняя раздевалка</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20,0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Зимняя раздевалка</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3,0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Летний душ с раздевалками</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1,5</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Стоянки для автомобилей</w:t>
            </w:r>
            <w:r>
              <w:fldChar w:fldCharType="begin"/>
            </w:r>
            <w:r>
              <w:instrText> HYPERLINK "http://www.garant.ru/products/ipo/prime/doc/70018446/" \l "5544"</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4,0 машины</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25,0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Стоянки для велосипедов</w:t>
            </w:r>
            <w:r>
              <w:fldChar w:fldCharType="begin"/>
            </w:r>
            <w:r>
              <w:instrText> HYPERLINK "http://www.garant.ru/products/ipo/prime/doc/70018446/" \l "5544"</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12,0 машины</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Биллиардная (1 стол)</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Детский автодром</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100</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Каток</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100x4</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51x24</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Корт для тенниса (крытый)</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4x5</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30x18</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Площадка для бадминтона</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4x5</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6,1x13,4</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Площадка для баскетбола</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15x4</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26x14</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Площадка для волейбола</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18x4</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19x9</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Площадка для гимнастики</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30x5</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40x26</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Площадка для городков</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10x5</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30x15</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Площадка для дошкольников</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Площадка для массовых игр</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3</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Площадка для наст. тенниса (1 стол)</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5x4</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2,7x1,52</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Площадка для тенниса</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4x5</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40x20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Поле для футбола</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24x2</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90x45 96x94</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Поле для хоккея с шайбой</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20x2</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60x30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Спортивное ядро, стадион</w:t>
            </w:r>
            <w:r>
              <w:fldChar w:fldCharType="begin"/>
            </w:r>
            <w:r>
              <w:instrText> HYPERLINK "http://www.garant.ru/products/ipo/prime/doc/70018446/" \l "5533"</w:instrText>
            </w:r>
            <w:r>
              <w:fldChar w:fldCharType="separate"/>
            </w:r>
            <w:r>
              <w:rPr>
                <w:rStyle w:val="Style5"/>
                <w:rFonts w:eastAsia="Times New Roman" w:cs="Times New Roman" w:ascii="Times New Roman" w:hAnsi="Times New Roman"/>
              </w:rPr>
              <w:t>*</w:t>
            </w:r>
            <w:r>
              <w:fldChar w:fldCharType="end"/>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20x2</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96x120</w:t>
            </w:r>
          </w:p>
        </w:tc>
      </w:tr>
      <w:tr>
        <w:trPr/>
        <w:tc>
          <w:tcPr>
            <w:tcW w:w="3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Консультационный пункт</w:t>
            </w:r>
          </w:p>
        </w:tc>
        <w:tc>
          <w:tcPr>
            <w:tcW w:w="40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5</w:t>
            </w:r>
          </w:p>
        </w:tc>
        <w:tc>
          <w:tcPr>
            <w:tcW w:w="31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0,4</w:t>
            </w:r>
          </w:p>
        </w:tc>
      </w:tr>
      <w:tr>
        <w:trPr/>
        <w:tc>
          <w:tcPr>
            <w:tcW w:w="10268"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Норма площади дана на объект. ** Объект расположен за границами территории парка.</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r>
        <w:br w:type="page"/>
      </w:r>
    </w:p>
    <w:p>
      <w:pPr>
        <w:pStyle w:val="Style99"/>
        <w:rPr/>
      </w:pPr>
      <w:r>
        <w:rPr>
          <w:rFonts w:eastAsia="Times New Roman" w:cs="Times New Roman" w:ascii="Times New Roman" w:hAnsi="Times New Roman"/>
          <w:lang w:eastAsia="ru-RU"/>
        </w:rPr>
        <w:t>Приложение 6</w:t>
      </w:r>
    </w:p>
    <w:p>
      <w:pPr>
        <w:pStyle w:val="Style99"/>
        <w:spacing w:lineRule="auto" w:line="240"/>
        <w:rPr/>
      </w:pPr>
      <w:r>
        <w:rPr>
          <w:rFonts w:eastAsia="Times New Roman" w:cs="Times New Roman" w:ascii="Times New Roman" w:hAnsi="Times New Roman"/>
          <w:lang w:eastAsia="ru-RU"/>
        </w:rPr>
        <w:t>к части 4 Правил использования земельных участков</w:t>
      </w:r>
    </w:p>
    <w:p>
      <w:pPr>
        <w:pStyle w:val="Style99"/>
        <w:spacing w:lineRule="auto" w:line="240"/>
        <w:rPr/>
      </w:pPr>
      <w:r>
        <w:rPr>
          <w:rFonts w:eastAsia="Times New Roman" w:cs="Times New Roman" w:ascii="Times New Roman" w:hAnsi="Times New Roman"/>
          <w:lang w:eastAsia="ru-RU"/>
        </w:rPr>
        <w:t>в границах Всесезонного туристско-рекреационного</w:t>
      </w:r>
    </w:p>
    <w:p>
      <w:pPr>
        <w:pStyle w:val="Style99"/>
        <w:spacing w:lineRule="auto" w:line="240"/>
        <w:rPr/>
      </w:pPr>
      <w:r>
        <w:rPr>
          <w:rFonts w:eastAsia="Times New Roman" w:cs="Times New Roman" w:ascii="Times New Roman" w:hAnsi="Times New Roman"/>
          <w:lang w:eastAsia="ru-RU"/>
        </w:rPr>
        <w:t>комплекса «Архыз»</w:t>
      </w:r>
    </w:p>
    <w:p>
      <w:pPr>
        <w:pStyle w:val="Style61"/>
        <w:rPr/>
      </w:pPr>
      <w:r>
        <w:rPr/>
      </w:r>
    </w:p>
    <w:p>
      <w:pPr>
        <w:pStyle w:val="Style61"/>
        <w:jc w:val="center"/>
        <w:rPr/>
      </w:pPr>
      <w:r>
        <w:rPr/>
        <w:t>ПРИЕМЫ БЛАГОУСТРОЙСТВА НА ТЕРРИТОРИЯХ ПРОИЗВОДСТВЕННОГО НАЗНАЧЕНИЯ</w:t>
      </w:r>
    </w:p>
    <w:p>
      <w:pPr>
        <w:pStyle w:val="Style99"/>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Style99"/>
        <w:spacing w:lineRule="auto" w:line="240"/>
        <w:rPr/>
      </w:pPr>
      <w:r>
        <w:rPr>
          <w:rFonts w:eastAsia="Times New Roman" w:cs="Times New Roman" w:ascii="Times New Roman" w:hAnsi="Times New Roman"/>
          <w:b/>
          <w:lang w:eastAsia="ru-RU"/>
        </w:rPr>
        <w:t>ТАБЛИЦА 1</w:t>
      </w:r>
    </w:p>
    <w:p>
      <w:pPr>
        <w:pStyle w:val="Style61"/>
        <w:spacing w:before="0" w:after="0"/>
        <w:jc w:val="center"/>
        <w:rPr/>
      </w:pPr>
      <w:r>
        <w:rPr/>
        <w:t>БЛАГОУСТРОЙСТВО ПРОИЗВОДСТВЕННЫХ ОБЪЕКТОВ</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1975"/>
        <w:gridCol w:w="3476"/>
        <w:gridCol w:w="4817"/>
      </w:tblGrid>
      <w:tr>
        <w:trPr/>
        <w:tc>
          <w:tcPr>
            <w:tcW w:w="19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Отрасли предприятий</w:t>
            </w:r>
          </w:p>
        </w:tc>
        <w:tc>
          <w:tcPr>
            <w:tcW w:w="34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Мероприятия защиты окружающей среды</w:t>
            </w:r>
          </w:p>
        </w:tc>
        <w:tc>
          <w:tcPr>
            <w:tcW w:w="48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Рекомендуемые приемы благоустройства</w:t>
            </w:r>
          </w:p>
        </w:tc>
      </w:tr>
      <w:tr>
        <w:trPr/>
        <w:tc>
          <w:tcPr>
            <w:tcW w:w="19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Хлебопекарная промышленность</w:t>
            </w:r>
          </w:p>
        </w:tc>
        <w:tc>
          <w:tcPr>
            <w:tcW w:w="34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Изоляция прилегающей территории населенного пункта от производственного шума; Хорошее проветривание территории</w:t>
            </w:r>
          </w:p>
        </w:tc>
        <w:tc>
          <w:tcPr>
            <w:tcW w:w="48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 В предзаводской зоне - одиночные декоративные экземпляры деревьев (ель колючая, сизая, серебристая, клен Швеллера).</w:t>
            </w:r>
          </w:p>
        </w:tc>
      </w:tr>
      <w:tr>
        <w:trPr/>
        <w:tc>
          <w:tcPr>
            <w:tcW w:w="19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Строительная промышленность</w:t>
            </w:r>
          </w:p>
        </w:tc>
        <w:tc>
          <w:tcPr>
            <w:tcW w:w="34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Снижение шума, скорости ветра и запыленности на территории; Изоляция прилегающей территории населенного пункта. Оживление монотонной и бесцветной среды</w:t>
            </w:r>
          </w:p>
        </w:tc>
        <w:tc>
          <w:tcPr>
            <w:tcW w:w="48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Плотные защитные посадки из больших живописных групп и массивов; Площадки отдыха декорируются яркими цветниками; Активно вводится цвет в застройку, транспортные устройства, малые архитектурные формы и др. элементы благоустройства; Ассортимент: клены, ясени, липы, вязы и т.п.</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r>
        <w:br w:type="page"/>
      </w:r>
    </w:p>
    <w:p>
      <w:pPr>
        <w:pStyle w:val="Style99"/>
        <w:rPr/>
      </w:pPr>
      <w:r>
        <w:rPr>
          <w:rFonts w:eastAsia="Times New Roman" w:cs="Times New Roman" w:ascii="Times New Roman" w:hAnsi="Times New Roman"/>
          <w:lang w:eastAsia="ru-RU"/>
        </w:rPr>
        <w:t>Приложение 7</w:t>
      </w:r>
    </w:p>
    <w:p>
      <w:pPr>
        <w:pStyle w:val="Style99"/>
        <w:spacing w:lineRule="auto" w:line="240"/>
        <w:rPr/>
      </w:pPr>
      <w:r>
        <w:rPr>
          <w:rFonts w:eastAsia="Times New Roman" w:cs="Times New Roman" w:ascii="Times New Roman" w:hAnsi="Times New Roman"/>
          <w:lang w:eastAsia="ru-RU"/>
        </w:rPr>
        <w:t>к части 4 Правил использования земельных участков</w:t>
      </w:r>
    </w:p>
    <w:p>
      <w:pPr>
        <w:pStyle w:val="Style99"/>
        <w:spacing w:lineRule="auto" w:line="240"/>
        <w:rPr/>
      </w:pPr>
      <w:r>
        <w:rPr>
          <w:rFonts w:eastAsia="Times New Roman" w:cs="Times New Roman" w:ascii="Times New Roman" w:hAnsi="Times New Roman"/>
          <w:lang w:eastAsia="ru-RU"/>
        </w:rPr>
        <w:t>в границах Всесезонного туристско-рекреационного</w:t>
      </w:r>
    </w:p>
    <w:p>
      <w:pPr>
        <w:pStyle w:val="Style99"/>
        <w:spacing w:lineRule="auto" w:line="240"/>
        <w:rPr/>
      </w:pPr>
      <w:r>
        <w:rPr>
          <w:rFonts w:eastAsia="Times New Roman" w:cs="Times New Roman" w:ascii="Times New Roman" w:hAnsi="Times New Roman"/>
          <w:lang w:eastAsia="ru-RU"/>
        </w:rPr>
        <w:t>комплекса «Архыз»</w:t>
      </w:r>
    </w:p>
    <w:p>
      <w:pPr>
        <w:pStyle w:val="Style61"/>
        <w:rPr/>
      </w:pPr>
      <w:r>
        <w:rPr/>
      </w:r>
    </w:p>
    <w:p>
      <w:pPr>
        <w:pStyle w:val="Style61"/>
        <w:spacing w:before="0" w:after="0"/>
        <w:jc w:val="center"/>
        <w:rPr/>
      </w:pPr>
      <w:r>
        <w:rPr/>
        <w:t>ВИДЫ ПОКРЫТИЯ ТРАНСПОРТНЫХ И ПЕШЕХОДНЫХ КОММУНИКАЦИЙ</w:t>
      </w:r>
    </w:p>
    <w:p>
      <w:pPr>
        <w:pStyle w:val="Style99"/>
        <w:rPr>
          <w:rFonts w:ascii="Times New Roman" w:hAnsi="Times New Roman" w:eastAsia="Times New Roman" w:cs="Times New Roman"/>
          <w:lang w:eastAsia="ru-RU"/>
        </w:rPr>
      </w:pPr>
      <w:r>
        <w:rPr>
          <w:rFonts w:eastAsia="Times New Roman" w:cs="Times New Roman" w:ascii="Times New Roman" w:hAnsi="Times New Roman"/>
          <w:lang w:eastAsia="ru-RU"/>
        </w:rPr>
      </w:r>
    </w:p>
    <w:p>
      <w:pPr>
        <w:pStyle w:val="Style99"/>
        <w:spacing w:lineRule="auto" w:line="240"/>
        <w:rPr/>
      </w:pPr>
      <w:r>
        <w:rPr>
          <w:rFonts w:eastAsia="Times New Roman" w:cs="Times New Roman" w:ascii="Times New Roman" w:hAnsi="Times New Roman"/>
          <w:b/>
          <w:lang w:eastAsia="ru-RU"/>
        </w:rPr>
        <w:t>ТАБЛИЦА 1</w:t>
      </w:r>
    </w:p>
    <w:p>
      <w:pPr>
        <w:pStyle w:val="Style61"/>
        <w:spacing w:before="0" w:after="0"/>
        <w:jc w:val="center"/>
        <w:rPr/>
      </w:pPr>
      <w:r>
        <w:rPr/>
        <w:t>ПОКРЫТИЯ ТРАНСПОРТНЫХ КОММУНИКАЦИЙ</w:t>
      </w:r>
    </w:p>
    <w:tbl>
      <w:tblPr>
        <w:tblW w:w="10268"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4150"/>
        <w:gridCol w:w="3875"/>
        <w:gridCol w:w="2243"/>
      </w:tblGrid>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Объект комплексного благоустройства улично-дорожной сети</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Материал верхнего слоя покрытия проезжей части</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b/>
                <w:bCs/>
              </w:rPr>
              <w:t>Нормативный документ</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Улицы и дороги</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ГОСТ 9128-97</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Магистральные улицы общегородского значения:</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типов А и Б, 1 марки;</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непрерывным движением</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щебнемастичный;</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ТУ-5718-001 - 00011168-2000</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литой тип II.</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ТУ 400-24-158-89*</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Смеси для шероховатых слоев износа.</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ТУ 57-1841 02804042596-01</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с регулируемым движением</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 же</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 же</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Магистральные улицы районного значения</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 типов Б и В, I марки</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ГОСТ 9128-97</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Местного значения:</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в застройке</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 типов В, Г и Д</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ГОСТ 9128-97</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в производственной и коммунально-складской зонах</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 типов Б и В</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ГОСТ 9128-97</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Площади</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 типов Б и В.</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ГОСТ 9128-97</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Представительские, приобъектные,</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Пластбетон цветной</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ТУ 400-24-110-76</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общественно-транспортные</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Штучные элементы из искусственного или природного камня.</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Транспортных развязок</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ГОСТ 9128-97</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типов А и Б; - щебнемастичный</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ТУ 5718-001-00011168-2000</w:t>
            </w:r>
          </w:p>
        </w:tc>
      </w:tr>
      <w:tr>
        <w:trPr/>
        <w:tc>
          <w:tcPr>
            <w:tcW w:w="415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Искусственные сооружения</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ГОСТ 9128-97</w:t>
            </w:r>
          </w:p>
        </w:tc>
      </w:tr>
      <w:tr>
        <w:trPr/>
        <w:tc>
          <w:tcPr>
            <w:tcW w:w="415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pPr>
            <w:r>
              <w:rPr>
                <w:rFonts w:eastAsia="Times New Roman" w:cs="Times New Roman" w:ascii="Times New Roman" w:hAnsi="Times New Roman"/>
              </w:rPr>
              <w:t>Мосты, эстакады, путепроводы, тоннели</w:t>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тип Б;</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ТУ-5718-001-00011168-2000</w:t>
            </w:r>
          </w:p>
        </w:tc>
      </w:tr>
      <w:tr>
        <w:trPr/>
        <w:tc>
          <w:tcPr>
            <w:tcW w:w="415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щебнемастичный;</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ТУ 400-24-158-89*</w:t>
            </w:r>
          </w:p>
        </w:tc>
      </w:tr>
      <w:tr>
        <w:trPr/>
        <w:tc>
          <w:tcPr>
            <w:tcW w:w="415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rPr>
                <w:rFonts w:ascii="Times New Roman" w:hAnsi="Times New Roman" w:eastAsia="Times New Roman" w:cs="Times New Roman"/>
              </w:rPr>
            </w:pPr>
            <w:r>
              <w:rPr>
                <w:rFonts w:eastAsia="Times New Roman" w:cs="Times New Roman" w:ascii="Times New Roman" w:hAnsi="Times New Roman"/>
              </w:rPr>
            </w:r>
          </w:p>
        </w:tc>
        <w:tc>
          <w:tcPr>
            <w:tcW w:w="38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литой типов I и II. Смеси для шероховатых слоев износа</w:t>
            </w:r>
          </w:p>
        </w:tc>
        <w:tc>
          <w:tcPr>
            <w:tcW w:w="22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ТУ 57-1841-02804042596-01</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rPr>
          <w:rFonts w:ascii="Times New Roman" w:hAnsi="Times New Roman" w:eastAsia="Times New Roman" w:cs="Times New Roman"/>
        </w:rPr>
      </w:pPr>
      <w:r>
        <w:rPr>
          <w:rFonts w:eastAsia="Times New Roman" w:cs="Times New Roman" w:ascii="Times New Roman" w:hAnsi="Times New Roman"/>
        </w:rPr>
      </w:r>
    </w:p>
    <w:p>
      <w:pPr>
        <w:pStyle w:val="Style99"/>
        <w:spacing w:lineRule="auto" w:line="240"/>
        <w:rPr/>
      </w:pPr>
      <w:r>
        <w:rPr>
          <w:rFonts w:eastAsia="Times New Roman" w:cs="Times New Roman" w:ascii="Times New Roman" w:hAnsi="Times New Roman"/>
          <w:b/>
          <w:lang w:eastAsia="ru-RU"/>
        </w:rPr>
        <w:t>ТАБЛИЦА 2</w:t>
      </w:r>
    </w:p>
    <w:p>
      <w:pPr>
        <w:pStyle w:val="Style61"/>
        <w:spacing w:before="0" w:after="0"/>
        <w:jc w:val="center"/>
        <w:rPr/>
      </w:pPr>
      <w:r>
        <w:rPr/>
        <w:t>ПОКРЫТИЯ ПЕШЕХОДНЫХ КОММУНИКАЦИЙ</w:t>
      </w:r>
    </w:p>
    <w:tbl>
      <w:tblPr>
        <w:tblW w:w="10269" w:type="dxa"/>
        <w:jc w:val="left"/>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15" w:type="dxa"/>
          <w:left w:w="-5" w:type="dxa"/>
          <w:bottom w:w="15" w:type="dxa"/>
          <w:right w:w="15" w:type="dxa"/>
        </w:tblCellMar>
        <w:tblLook w:firstRow="1" w:noVBand="1" w:lastRow="0" w:firstColumn="1" w:lastColumn="0" w:noHBand="0" w:val="04a0"/>
      </w:tblPr>
      <w:tblGrid>
        <w:gridCol w:w="2263"/>
        <w:gridCol w:w="2064"/>
        <w:gridCol w:w="2102"/>
        <w:gridCol w:w="2163"/>
        <w:gridCol w:w="1677"/>
      </w:tblGrid>
      <w:tr>
        <w:trPr/>
        <w:tc>
          <w:tcPr>
            <w:tcW w:w="226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Объект комплексного благоустройства</w:t>
            </w:r>
          </w:p>
        </w:tc>
        <w:tc>
          <w:tcPr>
            <w:tcW w:w="8006"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pPr>
            <w:r>
              <w:rPr>
                <w:rFonts w:eastAsia="Times New Roman" w:cs="Times New Roman" w:ascii="Times New Roman" w:hAnsi="Times New Roman"/>
                <w:b/>
                <w:bCs/>
              </w:rPr>
              <w:t>Материал покрытия:</w:t>
            </w:r>
          </w:p>
        </w:tc>
      </w:tr>
      <w:tr>
        <w:trPr/>
        <w:tc>
          <w:tcPr>
            <w:tcW w:w="226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spacing w:before="0" w:after="160"/>
              <w:jc w:val="center"/>
              <w:rPr>
                <w:rFonts w:ascii="Times New Roman" w:hAnsi="Times New Roman" w:eastAsia="Times New Roman" w:cs="Times New Roman"/>
                <w:b/>
                <w:b/>
                <w:bCs/>
              </w:rPr>
            </w:pPr>
            <w:r>
              <w:rPr>
                <w:rFonts w:eastAsia="Times New Roman" w:cs="Times New Roman" w:ascii="Times New Roman" w:hAnsi="Times New Roman"/>
                <w:b/>
                <w:bCs/>
              </w:rPr>
            </w:r>
          </w:p>
        </w:tc>
        <w:tc>
          <w:tcPr>
            <w:tcW w:w="20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тротуара</w:t>
            </w:r>
          </w:p>
        </w:tc>
        <w:tc>
          <w:tcPr>
            <w:tcW w:w="21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пешеходной зоны</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дорожки на озелененной территории технической зоны</w:t>
            </w:r>
          </w:p>
        </w:tc>
        <w:tc>
          <w:tcPr>
            <w:tcW w:w="1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jc w:val="center"/>
              <w:rPr/>
            </w:pPr>
            <w:r>
              <w:rPr>
                <w:rFonts w:eastAsia="Times New Roman" w:cs="Times New Roman" w:ascii="Times New Roman" w:hAnsi="Times New Roman"/>
              </w:rPr>
              <w:t>пандусов</w:t>
            </w:r>
          </w:p>
        </w:tc>
      </w:tr>
      <w:tr>
        <w:trPr/>
        <w:tc>
          <w:tcPr>
            <w:tcW w:w="22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Магистральные улицы общегородского и районного значения</w:t>
            </w:r>
          </w:p>
        </w:tc>
        <w:tc>
          <w:tcPr>
            <w:tcW w:w="20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 типов Г и Д. Штучные элементы из искусственного или природного камня</w:t>
            </w:r>
          </w:p>
        </w:tc>
        <w:tc>
          <w:tcPr>
            <w:tcW w:w="21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Штучные элементы из искусственного или природного камня. Смеси сыпучих материалов, неукреплённые или укреплённые вяжущим</w:t>
            </w:r>
          </w:p>
        </w:tc>
        <w:tc>
          <w:tcPr>
            <w:tcW w:w="1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r>
      <w:tr>
        <w:trPr/>
        <w:tc>
          <w:tcPr>
            <w:tcW w:w="22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Улицы местного значения</w:t>
            </w:r>
          </w:p>
        </w:tc>
        <w:tc>
          <w:tcPr>
            <w:tcW w:w="20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 же</w:t>
            </w:r>
          </w:p>
        </w:tc>
        <w:tc>
          <w:tcPr>
            <w:tcW w:w="21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 типов В, Г и Д.</w:t>
            </w:r>
          </w:p>
        </w:tc>
      </w:tr>
      <w:tr>
        <w:trPr/>
        <w:tc>
          <w:tcPr>
            <w:tcW w:w="22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 застройке</w:t>
            </w:r>
          </w:p>
        </w:tc>
        <w:tc>
          <w:tcPr>
            <w:tcW w:w="20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21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Цементобетон.</w:t>
            </w:r>
          </w:p>
        </w:tc>
      </w:tr>
      <w:tr>
        <w:trPr/>
        <w:tc>
          <w:tcPr>
            <w:tcW w:w="22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в производственной и коммунально-складской зонах</w:t>
            </w:r>
          </w:p>
        </w:tc>
        <w:tc>
          <w:tcPr>
            <w:tcW w:w="20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 типов Г и Д. Цементобетон</w:t>
            </w:r>
          </w:p>
        </w:tc>
        <w:tc>
          <w:tcPr>
            <w:tcW w:w="21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r>
      <w:tr>
        <w:trPr/>
        <w:tc>
          <w:tcPr>
            <w:tcW w:w="22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fldChar w:fldCharType="begin"/>
            </w:r>
            <w:r>
              <w:instrText> HYPERLINK "http://www.garant.ru/products/ipo/prime/doc/70018446/" \l "8"</w:instrText>
            </w:r>
            <w:r>
              <w:fldChar w:fldCharType="separate"/>
            </w:r>
            <w:r>
              <w:rPr>
                <w:rStyle w:val="Style5"/>
                <w:rFonts w:eastAsia="Times New Roman" w:cs="Times New Roman" w:ascii="Times New Roman" w:hAnsi="Times New Roman"/>
                <w:u w:val="single"/>
              </w:rPr>
              <w:t>Пешеходная улица</w:t>
            </w:r>
            <w:r>
              <w:fldChar w:fldCharType="end"/>
            </w:r>
          </w:p>
        </w:tc>
        <w:tc>
          <w:tcPr>
            <w:tcW w:w="20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Штучные элементы из искусственного или природного камня. Пластбетон цветной</w:t>
            </w:r>
          </w:p>
        </w:tc>
        <w:tc>
          <w:tcPr>
            <w:tcW w:w="21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Штучные элементы из искусственного или природного камня. Пластбетон цветной</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r>
      <w:tr>
        <w:trPr/>
        <w:tc>
          <w:tcPr>
            <w:tcW w:w="22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Площади представительские, приобъектные, общественно-транспортные</w:t>
            </w:r>
          </w:p>
        </w:tc>
        <w:tc>
          <w:tcPr>
            <w:tcW w:w="20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Штучные элементы из искусственного или природного камня. Асфальтобетон типов Г и Д. Пластбетон цветной.</w:t>
            </w:r>
          </w:p>
        </w:tc>
        <w:tc>
          <w:tcPr>
            <w:tcW w:w="21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Штучные элементы из искусственного или природного камня. Асфальтобетон типов Г и Д. Пластбетон цветной.</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r>
      <w:tr>
        <w:trPr/>
        <w:tc>
          <w:tcPr>
            <w:tcW w:w="22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транспортных развязок</w:t>
            </w:r>
          </w:p>
        </w:tc>
        <w:tc>
          <w:tcPr>
            <w:tcW w:w="20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Штучные элементы из искусственного или природного камня. Асфальтобетон типов Г и Д.</w:t>
            </w:r>
          </w:p>
        </w:tc>
        <w:tc>
          <w:tcPr>
            <w:tcW w:w="21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r>
      <w:tr>
        <w:trPr/>
        <w:tc>
          <w:tcPr>
            <w:tcW w:w="22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Пешеходные переходы наземные,</w:t>
            </w:r>
          </w:p>
        </w:tc>
        <w:tc>
          <w:tcPr>
            <w:tcW w:w="20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21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 же, что и на проезжей части или Штучные элементы из искусственного или природного камня</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r>
      <w:tr>
        <w:trPr/>
        <w:tc>
          <w:tcPr>
            <w:tcW w:w="22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подземные и надземные</w:t>
            </w:r>
          </w:p>
        </w:tc>
        <w:tc>
          <w:tcPr>
            <w:tcW w:w="20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21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 типов В, Г, Д. Штучные элементы из искусственного или природного камня.</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   </w:t>
            </w:r>
          </w:p>
        </w:tc>
        <w:tc>
          <w:tcPr>
            <w:tcW w:w="1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Асфальтобетон типов В, Г, Д</w:t>
            </w:r>
          </w:p>
        </w:tc>
      </w:tr>
      <w:tr>
        <w:trPr/>
        <w:tc>
          <w:tcPr>
            <w:tcW w:w="22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Мосты, эстакады, путепроводы, тоннели</w:t>
            </w:r>
          </w:p>
        </w:tc>
        <w:tc>
          <w:tcPr>
            <w:tcW w:w="206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Штучные элементы из искусственного или природного камня. Асфальтобетон типов Г и Д.</w:t>
            </w:r>
          </w:p>
        </w:tc>
        <w:tc>
          <w:tcPr>
            <w:tcW w:w="21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w:t>
            </w:r>
          </w:p>
        </w:tc>
        <w:tc>
          <w:tcPr>
            <w:tcW w:w="1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before="0" w:after="160"/>
              <w:rPr/>
            </w:pPr>
            <w:r>
              <w:rPr>
                <w:rFonts w:eastAsia="Times New Roman" w:cs="Times New Roman" w:ascii="Times New Roman" w:hAnsi="Times New Roman"/>
              </w:rPr>
              <w:t>То же</w:t>
            </w:r>
          </w:p>
        </w:tc>
      </w:tr>
    </w:tbl>
    <w:p>
      <w:pPr>
        <w:pStyle w:val="Normal"/>
        <w:rPr>
          <w:rFonts w:ascii="Times New Roman" w:hAnsi="Times New Roman" w:eastAsia="Times New Roman" w:cs="Times New Roman"/>
        </w:rPr>
      </w:pPr>
      <w:r>
        <w:rPr>
          <w:rFonts w:eastAsia="Times New Roman" w:cs="Times New Roman" w:ascii="Times New Roman" w:hAnsi="Times New Roman"/>
        </w:rPr>
      </w:r>
    </w:p>
    <w:p>
      <w:pPr>
        <w:pStyle w:val="Normal"/>
        <w:ind w:right="599" w:firstLine="567"/>
        <w:jc w:val="both"/>
        <w:rPr>
          <w:rFonts w:ascii="Times New Roman" w:hAnsi="Times New Roman" w:cs="Times New Roman"/>
        </w:rPr>
      </w:pPr>
      <w:r>
        <w:rPr>
          <w:rFonts w:cs="Times New Roman" w:ascii="Times New Roman" w:hAnsi="Times New Roman"/>
        </w:rPr>
      </w:r>
    </w:p>
    <w:p>
      <w:pPr>
        <w:pStyle w:val="Normal"/>
        <w:widowControl w:val="false"/>
        <w:spacing w:lineRule="exact" w:line="210"/>
        <w:ind w:left="4200" w:hanging="0"/>
        <w:rPr>
          <w:rFonts w:ascii="Times New Roman" w:hAnsi="Times New Roman" w:eastAsia="Times New Roman" w:cs="Times New Roman"/>
          <w:b/>
          <w:b/>
          <w:bCs/>
          <w:sz w:val="21"/>
          <w:szCs w:val="21"/>
          <w:lang w:bidi="ru-RU"/>
        </w:rPr>
      </w:pPr>
      <w:r>
        <w:rPr>
          <w:rFonts w:eastAsia="Times New Roman" w:cs="Times New Roman" w:ascii="Times New Roman" w:hAnsi="Times New Roman"/>
          <w:b/>
          <w:bCs/>
          <w:sz w:val="21"/>
          <w:szCs w:val="21"/>
          <w:lang w:bidi="ru-RU"/>
        </w:rPr>
      </w:r>
    </w:p>
    <w:p>
      <w:pPr>
        <w:pStyle w:val="Normal"/>
        <w:jc w:val="both"/>
        <w:rPr>
          <w:rFonts w:ascii="Times New Roman" w:hAnsi="Times New Roman" w:cs="Times New Roman"/>
          <w:b/>
          <w:b/>
          <w:i/>
          <w:i/>
          <w:color w:val="00000A"/>
          <w:sz w:val="24"/>
          <w:szCs w:val="24"/>
        </w:rPr>
      </w:pPr>
      <w:r>
        <w:rPr>
          <w:rFonts w:cs="Times New Roman" w:ascii="Times New Roman" w:hAnsi="Times New Roman"/>
          <w:b/>
          <w:i/>
          <w:color w:val="00000A"/>
          <w:sz w:val="24"/>
          <w:szCs w:val="24"/>
        </w:rPr>
      </w:r>
    </w:p>
    <w:p>
      <w:pPr>
        <w:pStyle w:val="Normal"/>
        <w:spacing w:lineRule="auto" w:line="240" w:before="0" w:after="0"/>
        <w:ind w:firstLine="709"/>
        <w:jc w:val="both"/>
        <w:rPr/>
      </w:pPr>
      <w:r>
        <w:rPr/>
      </w:r>
    </w:p>
    <w:sectPr>
      <w:footnotePr>
        <w:numFmt w:val="decimal"/>
      </w:footnotePr>
      <w:type w:val="nextPage"/>
      <w:pgSz w:w="11906" w:h="17338"/>
      <w:pgMar w:left="1437" w:right="707" w:header="0" w:top="1135" w:footer="0" w:bottom="1111" w:gutter="0"/>
      <w:pgNumType w:fmt="decimal"/>
      <w:formProt w:val="false"/>
      <w:textDirection w:val="lrTb"/>
      <w:docGrid w:type="default" w:linePitch="24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Calibri Light">
    <w:charset w:val="cc"/>
    <w:family w:val="roman"/>
    <w:pitch w:val="variable"/>
  </w:font>
  <w:font w:name="Times New Roman">
    <w:charset w:val="cc"/>
    <w:family w:val="roman"/>
    <w:pitch w:val="variable"/>
  </w:font>
  <w:font w:name="Arial">
    <w:charset w:val="cc"/>
    <w:family w:val="roman"/>
    <w:pitch w:val="variable"/>
  </w:font>
  <w:font w:name="Consolas">
    <w:charset w:val="cc"/>
    <w:family w:val="roman"/>
    <w:pitch w:val="variable"/>
  </w:font>
  <w:font w:name="Courier New">
    <w:charset w:val="cc"/>
    <w:family w:val="roman"/>
    <w:pitch w:val="variable"/>
  </w:font>
  <w:font w:name="StarSymbol">
    <w:altName w:val="Arial Unicode MS"/>
    <w:charset w:val="cc"/>
    <w:family w:val="roman"/>
    <w:pitch w:val="variable"/>
  </w:font>
  <w:font w:name="Symbol">
    <w:charset w:val="cc"/>
    <w:family w:val="roman"/>
    <w:pitch w:val="variable"/>
  </w:font>
  <w:font w:name="Cambria">
    <w:charset w:val="cc"/>
    <w:family w:val="roman"/>
    <w:pitch w:val="variable"/>
  </w:font>
  <w:font w:name="Tahoma">
    <w:charset w:val="cc"/>
    <w:family w:val="roman"/>
    <w:pitch w:val="variable"/>
  </w:font>
  <w:font w:name="Times New Roman Полужирный">
    <w:charset w:val="cc"/>
    <w:family w:val="roman"/>
    <w:pitch w:val="variable"/>
  </w:font>
  <w:font w:name="Verdana">
    <w:charset w:val="cc"/>
    <w:family w:val="roman"/>
    <w:pitch w:val="variable"/>
  </w:font>
  <w:font w:name="Times New Roman">
    <w:charset w:val="01"/>
    <w:family w:val="roman"/>
    <w:pitch w:val="variable"/>
  </w:font>
  <w:font w:name="Courier New">
    <w:charset w:val="01"/>
    <w:family w:val="modern"/>
    <w:pitch w:val="fixed"/>
  </w:font>
  <w:font w:name="Wingdings">
    <w:charset w:val="02"/>
    <w:family w:val="auto"/>
    <w:pitch w:val="variable"/>
  </w:font>
</w:fonts>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p>
  </w:footnote>
  <w:footnote w:id="1" w:type="continuationSeparator">
    <w:p>
      <w:r>
        <w:continuationSeparator/>
      </w:r>
    </w:p>
  </w:footnote>
  <w:footnote w:id="2">
    <w:p>
      <w:pPr>
        <w:pStyle w:val="Footnotetext"/>
        <w:spacing w:lineRule="auto" w:line="240" w:before="0" w:after="0"/>
        <w:rPr/>
      </w:pPr>
      <w:r>
        <w:rPr>
          <w:rStyle w:val="Footnotereference"/>
        </w:rPr>
        <w:footnoteRef/>
        <w:tab/>
      </w:r>
      <w:r>
        <w:rPr/>
        <w:t xml:space="preserve"> </w:t>
      </w:r>
      <w:r>
        <w:rPr>
          <w:lang w:val="ru-RU"/>
        </w:rPr>
        <w:t>Здесь и далее «Правила» – Правила использования земельных участков в границах Всесезонного туристско-рекреационного комплекса «Архыз»</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3.2"/>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4">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5">
    <w:lvl w:ilvl="0">
      <w:start w:val="1"/>
      <w:numFmt w:val="bullet"/>
      <w:lvlText w:val=""/>
      <w:lvlJc w:val="left"/>
      <w:pPr>
        <w:ind w:left="1429" w:hanging="360"/>
      </w:pPr>
      <w:rPr>
        <w:rFonts w:ascii="Symbol" w:hAnsi="Symbol" w:cs="Symbol" w:hint="default"/>
        <w:sz w:val="24"/>
        <w:rFonts w:cs="Symbol"/>
      </w:rPr>
    </w:lvl>
    <w:lvl w:ilvl="1">
      <w:start w:val="1"/>
      <w:numFmt w:val="bullet"/>
      <w:lvlText w:val="o"/>
      <w:lvlJc w:val="left"/>
      <w:pPr>
        <w:ind w:left="2149" w:hanging="360"/>
      </w:pPr>
      <w:rPr>
        <w:rFonts w:ascii="Courier New" w:hAnsi="Courier New" w:cs="Courier New" w:hint="default"/>
        <w:rFonts w:cs="Courier New"/>
      </w:rPr>
    </w:lvl>
    <w:lvl w:ilvl="2">
      <w:start w:val="1"/>
      <w:numFmt w:val="bullet"/>
      <w:lvlText w:val=""/>
      <w:lvlJc w:val="left"/>
      <w:pPr>
        <w:ind w:left="2869" w:hanging="360"/>
      </w:pPr>
      <w:rPr>
        <w:rFonts w:ascii="Wingdings" w:hAnsi="Wingdings" w:cs="Wingdings" w:hint="default"/>
        <w:rFonts w:cs="Wingdings"/>
      </w:rPr>
    </w:lvl>
    <w:lvl w:ilvl="3">
      <w:start w:val="1"/>
      <w:numFmt w:val="bullet"/>
      <w:lvlText w:val=""/>
      <w:lvlJc w:val="left"/>
      <w:pPr>
        <w:ind w:left="3589" w:hanging="360"/>
      </w:pPr>
      <w:rPr>
        <w:rFonts w:ascii="Symbol" w:hAnsi="Symbol" w:cs="Symbol" w:hint="default"/>
        <w:rFonts w:cs="Symbol"/>
      </w:rPr>
    </w:lvl>
    <w:lvl w:ilvl="4">
      <w:start w:val="1"/>
      <w:numFmt w:val="bullet"/>
      <w:lvlText w:val="o"/>
      <w:lvlJc w:val="left"/>
      <w:pPr>
        <w:ind w:left="4309" w:hanging="360"/>
      </w:pPr>
      <w:rPr>
        <w:rFonts w:ascii="Courier New" w:hAnsi="Courier New" w:cs="Courier New" w:hint="default"/>
        <w:rFonts w:cs="Courier New"/>
      </w:rPr>
    </w:lvl>
    <w:lvl w:ilvl="5">
      <w:start w:val="1"/>
      <w:numFmt w:val="bullet"/>
      <w:lvlText w:val=""/>
      <w:lvlJc w:val="left"/>
      <w:pPr>
        <w:ind w:left="5029" w:hanging="360"/>
      </w:pPr>
      <w:rPr>
        <w:rFonts w:ascii="Wingdings" w:hAnsi="Wingdings" w:cs="Wingdings" w:hint="default"/>
        <w:rFonts w:cs="Wingdings"/>
      </w:rPr>
    </w:lvl>
    <w:lvl w:ilvl="6">
      <w:start w:val="1"/>
      <w:numFmt w:val="bullet"/>
      <w:lvlText w:val=""/>
      <w:lvlJc w:val="left"/>
      <w:pPr>
        <w:ind w:left="5749" w:hanging="360"/>
      </w:pPr>
      <w:rPr>
        <w:rFonts w:ascii="Symbol" w:hAnsi="Symbol" w:cs="Symbol" w:hint="default"/>
        <w:rFonts w:cs="Symbol"/>
      </w:rPr>
    </w:lvl>
    <w:lvl w:ilvl="7">
      <w:start w:val="1"/>
      <w:numFmt w:val="bullet"/>
      <w:lvlText w:val="o"/>
      <w:lvlJc w:val="left"/>
      <w:pPr>
        <w:ind w:left="6469" w:hanging="360"/>
      </w:pPr>
      <w:rPr>
        <w:rFonts w:ascii="Courier New" w:hAnsi="Courier New" w:cs="Courier New" w:hint="default"/>
        <w:rFonts w:cs="Courier New"/>
      </w:rPr>
    </w:lvl>
    <w:lvl w:ilvl="8">
      <w:start w:val="1"/>
      <w:numFmt w:val="bullet"/>
      <w:lvlText w:val=""/>
      <w:lvlJc w:val="left"/>
      <w:pPr>
        <w:ind w:left="7189" w:hanging="360"/>
      </w:pPr>
      <w:rPr>
        <w:rFonts w:ascii="Wingdings" w:hAnsi="Wingdings" w:cs="Wingdings" w:hint="default"/>
        <w:rFonts w:cs="Wingdings"/>
      </w:rPr>
    </w:lvl>
  </w:abstractNum>
  <w:abstractNum w:abstractNumId="6">
    <w:lvl w:ilvl="0">
      <w:start w:val="1"/>
      <w:numFmt w:val="bullet"/>
      <w:lvlText w:val=""/>
      <w:lvlJc w:val="left"/>
      <w:pPr>
        <w:ind w:left="1429" w:hanging="360"/>
      </w:pPr>
      <w:rPr>
        <w:rFonts w:ascii="Symbol" w:hAnsi="Symbol" w:cs="Symbol" w:hint="default"/>
        <w:sz w:val="24"/>
        <w:rFonts w:cs="Symbol"/>
      </w:rPr>
    </w:lvl>
    <w:lvl w:ilvl="1">
      <w:start w:val="1"/>
      <w:numFmt w:val="bullet"/>
      <w:lvlText w:val="o"/>
      <w:lvlJc w:val="left"/>
      <w:pPr>
        <w:ind w:left="2149" w:hanging="360"/>
      </w:pPr>
      <w:rPr>
        <w:rFonts w:ascii="Courier New" w:hAnsi="Courier New" w:cs="Courier New" w:hint="default"/>
        <w:rFonts w:cs="Courier New"/>
      </w:rPr>
    </w:lvl>
    <w:lvl w:ilvl="2">
      <w:start w:val="1"/>
      <w:numFmt w:val="bullet"/>
      <w:lvlText w:val=""/>
      <w:lvlJc w:val="left"/>
      <w:pPr>
        <w:ind w:left="2869" w:hanging="360"/>
      </w:pPr>
      <w:rPr>
        <w:rFonts w:ascii="Wingdings" w:hAnsi="Wingdings" w:cs="Wingdings" w:hint="default"/>
        <w:rFonts w:cs="Wingdings"/>
      </w:rPr>
    </w:lvl>
    <w:lvl w:ilvl="3">
      <w:start w:val="1"/>
      <w:numFmt w:val="bullet"/>
      <w:lvlText w:val=""/>
      <w:lvlJc w:val="left"/>
      <w:pPr>
        <w:ind w:left="3589" w:hanging="360"/>
      </w:pPr>
      <w:rPr>
        <w:rFonts w:ascii="Symbol" w:hAnsi="Symbol" w:cs="Symbol" w:hint="default"/>
        <w:rFonts w:cs="Symbol"/>
      </w:rPr>
    </w:lvl>
    <w:lvl w:ilvl="4">
      <w:start w:val="1"/>
      <w:numFmt w:val="bullet"/>
      <w:lvlText w:val="o"/>
      <w:lvlJc w:val="left"/>
      <w:pPr>
        <w:ind w:left="4309" w:hanging="360"/>
      </w:pPr>
      <w:rPr>
        <w:rFonts w:ascii="Courier New" w:hAnsi="Courier New" w:cs="Courier New" w:hint="default"/>
        <w:rFonts w:cs="Courier New"/>
      </w:rPr>
    </w:lvl>
    <w:lvl w:ilvl="5">
      <w:start w:val="1"/>
      <w:numFmt w:val="bullet"/>
      <w:lvlText w:val=""/>
      <w:lvlJc w:val="left"/>
      <w:pPr>
        <w:ind w:left="5029" w:hanging="360"/>
      </w:pPr>
      <w:rPr>
        <w:rFonts w:ascii="Wingdings" w:hAnsi="Wingdings" w:cs="Wingdings" w:hint="default"/>
        <w:rFonts w:cs="Wingdings"/>
      </w:rPr>
    </w:lvl>
    <w:lvl w:ilvl="6">
      <w:start w:val="1"/>
      <w:numFmt w:val="bullet"/>
      <w:lvlText w:val=""/>
      <w:lvlJc w:val="left"/>
      <w:pPr>
        <w:ind w:left="5749" w:hanging="360"/>
      </w:pPr>
      <w:rPr>
        <w:rFonts w:ascii="Symbol" w:hAnsi="Symbol" w:cs="Symbol" w:hint="default"/>
        <w:rFonts w:cs="Symbol"/>
      </w:rPr>
    </w:lvl>
    <w:lvl w:ilvl="7">
      <w:start w:val="1"/>
      <w:numFmt w:val="bullet"/>
      <w:lvlText w:val="o"/>
      <w:lvlJc w:val="left"/>
      <w:pPr>
        <w:ind w:left="6469" w:hanging="360"/>
      </w:pPr>
      <w:rPr>
        <w:rFonts w:ascii="Courier New" w:hAnsi="Courier New" w:cs="Courier New" w:hint="default"/>
        <w:rFonts w:cs="Courier New"/>
      </w:rPr>
    </w:lvl>
    <w:lvl w:ilvl="8">
      <w:start w:val="1"/>
      <w:numFmt w:val="bullet"/>
      <w:lvlText w:val=""/>
      <w:lvlJc w:val="left"/>
      <w:pPr>
        <w:ind w:left="7189" w:hanging="360"/>
      </w:pPr>
      <w:rPr>
        <w:rFonts w:ascii="Wingdings" w:hAnsi="Wingdings" w:cs="Wingdings" w:hint="default"/>
        <w:rFonts w:cs="Wingdings"/>
      </w:rPr>
    </w:lvl>
  </w:abstractNum>
  <w:abstractNum w:abstractNumId="7">
    <w:lvl w:ilvl="0">
      <w:start w:val="1"/>
      <w:numFmt w:val="bullet"/>
      <w:lvlText w:val=""/>
      <w:lvlJc w:val="left"/>
      <w:pPr>
        <w:ind w:left="1429" w:hanging="360"/>
      </w:pPr>
      <w:rPr>
        <w:rFonts w:ascii="Symbol" w:hAnsi="Symbol" w:cs="Symbol" w:hint="default"/>
        <w:sz w:val="24"/>
        <w:rFonts w:cs="Symbol"/>
      </w:rPr>
    </w:lvl>
    <w:lvl w:ilvl="1">
      <w:start w:val="1"/>
      <w:numFmt w:val="bullet"/>
      <w:lvlText w:val="o"/>
      <w:lvlJc w:val="left"/>
      <w:pPr>
        <w:ind w:left="2149" w:hanging="360"/>
      </w:pPr>
      <w:rPr>
        <w:rFonts w:ascii="Courier New" w:hAnsi="Courier New" w:cs="Courier New" w:hint="default"/>
        <w:rFonts w:cs="Courier New"/>
      </w:rPr>
    </w:lvl>
    <w:lvl w:ilvl="2">
      <w:start w:val="1"/>
      <w:numFmt w:val="bullet"/>
      <w:lvlText w:val=""/>
      <w:lvlJc w:val="left"/>
      <w:pPr>
        <w:ind w:left="2869" w:hanging="360"/>
      </w:pPr>
      <w:rPr>
        <w:rFonts w:ascii="Wingdings" w:hAnsi="Wingdings" w:cs="Wingdings" w:hint="default"/>
        <w:rFonts w:cs="Wingdings"/>
      </w:rPr>
    </w:lvl>
    <w:lvl w:ilvl="3">
      <w:start w:val="1"/>
      <w:numFmt w:val="bullet"/>
      <w:lvlText w:val=""/>
      <w:lvlJc w:val="left"/>
      <w:pPr>
        <w:ind w:left="3589" w:hanging="360"/>
      </w:pPr>
      <w:rPr>
        <w:rFonts w:ascii="Symbol" w:hAnsi="Symbol" w:cs="Symbol" w:hint="default"/>
        <w:rFonts w:cs="Symbol"/>
      </w:rPr>
    </w:lvl>
    <w:lvl w:ilvl="4">
      <w:start w:val="1"/>
      <w:numFmt w:val="bullet"/>
      <w:lvlText w:val="o"/>
      <w:lvlJc w:val="left"/>
      <w:pPr>
        <w:ind w:left="4309" w:hanging="360"/>
      </w:pPr>
      <w:rPr>
        <w:rFonts w:ascii="Courier New" w:hAnsi="Courier New" w:cs="Courier New" w:hint="default"/>
        <w:rFonts w:cs="Courier New"/>
      </w:rPr>
    </w:lvl>
    <w:lvl w:ilvl="5">
      <w:start w:val="1"/>
      <w:numFmt w:val="bullet"/>
      <w:lvlText w:val=""/>
      <w:lvlJc w:val="left"/>
      <w:pPr>
        <w:ind w:left="5029" w:hanging="360"/>
      </w:pPr>
      <w:rPr>
        <w:rFonts w:ascii="Wingdings" w:hAnsi="Wingdings" w:cs="Wingdings" w:hint="default"/>
        <w:rFonts w:cs="Wingdings"/>
      </w:rPr>
    </w:lvl>
    <w:lvl w:ilvl="6">
      <w:start w:val="1"/>
      <w:numFmt w:val="bullet"/>
      <w:lvlText w:val=""/>
      <w:lvlJc w:val="left"/>
      <w:pPr>
        <w:ind w:left="5749" w:hanging="360"/>
      </w:pPr>
      <w:rPr>
        <w:rFonts w:ascii="Symbol" w:hAnsi="Symbol" w:cs="Symbol" w:hint="default"/>
        <w:rFonts w:cs="Symbol"/>
      </w:rPr>
    </w:lvl>
    <w:lvl w:ilvl="7">
      <w:start w:val="1"/>
      <w:numFmt w:val="bullet"/>
      <w:lvlText w:val="o"/>
      <w:lvlJc w:val="left"/>
      <w:pPr>
        <w:ind w:left="6469" w:hanging="360"/>
      </w:pPr>
      <w:rPr>
        <w:rFonts w:ascii="Courier New" w:hAnsi="Courier New" w:cs="Courier New" w:hint="default"/>
        <w:rFonts w:cs="Courier New"/>
      </w:rPr>
    </w:lvl>
    <w:lvl w:ilvl="8">
      <w:start w:val="1"/>
      <w:numFmt w:val="bullet"/>
      <w:lvlText w:val=""/>
      <w:lvlJc w:val="left"/>
      <w:pPr>
        <w:ind w:left="7189" w:hanging="360"/>
      </w:pPr>
      <w:rPr>
        <w:rFonts w:ascii="Wingdings" w:hAnsi="Wingdings" w:cs="Wingdings" w:hint="default"/>
        <w:rFonts w:cs="Wingdings"/>
      </w:rPr>
    </w:lvl>
  </w:abstractNum>
  <w:abstractNum w:abstractNumId="8">
    <w:lvl w:ilvl="0">
      <w:start w:val="1"/>
      <w:numFmt w:val="bullet"/>
      <w:lvlText w:val=""/>
      <w:lvlJc w:val="left"/>
      <w:pPr>
        <w:ind w:left="1429" w:hanging="360"/>
      </w:pPr>
      <w:rPr>
        <w:rFonts w:ascii="Symbol" w:hAnsi="Symbol" w:cs="Symbol" w:hint="default"/>
        <w:sz w:val="24"/>
        <w:rFonts w:cs="Symbol"/>
      </w:rPr>
    </w:lvl>
    <w:lvl w:ilvl="1">
      <w:start w:val="1"/>
      <w:numFmt w:val="bullet"/>
      <w:lvlText w:val="o"/>
      <w:lvlJc w:val="left"/>
      <w:pPr>
        <w:ind w:left="2149" w:hanging="360"/>
      </w:pPr>
      <w:rPr>
        <w:rFonts w:ascii="Courier New" w:hAnsi="Courier New" w:cs="Courier New" w:hint="default"/>
        <w:rFonts w:cs="Courier New"/>
      </w:rPr>
    </w:lvl>
    <w:lvl w:ilvl="2">
      <w:start w:val="1"/>
      <w:numFmt w:val="bullet"/>
      <w:lvlText w:val=""/>
      <w:lvlJc w:val="left"/>
      <w:pPr>
        <w:ind w:left="2869" w:hanging="360"/>
      </w:pPr>
      <w:rPr>
        <w:rFonts w:ascii="Wingdings" w:hAnsi="Wingdings" w:cs="Wingdings" w:hint="default"/>
        <w:rFonts w:cs="Wingdings"/>
      </w:rPr>
    </w:lvl>
    <w:lvl w:ilvl="3">
      <w:start w:val="1"/>
      <w:numFmt w:val="bullet"/>
      <w:lvlText w:val=""/>
      <w:lvlJc w:val="left"/>
      <w:pPr>
        <w:ind w:left="3589" w:hanging="360"/>
      </w:pPr>
      <w:rPr>
        <w:rFonts w:ascii="Symbol" w:hAnsi="Symbol" w:cs="Symbol" w:hint="default"/>
        <w:rFonts w:cs="Symbol"/>
      </w:rPr>
    </w:lvl>
    <w:lvl w:ilvl="4">
      <w:start w:val="1"/>
      <w:numFmt w:val="bullet"/>
      <w:lvlText w:val="o"/>
      <w:lvlJc w:val="left"/>
      <w:pPr>
        <w:ind w:left="4309" w:hanging="360"/>
      </w:pPr>
      <w:rPr>
        <w:rFonts w:ascii="Courier New" w:hAnsi="Courier New" w:cs="Courier New" w:hint="default"/>
        <w:rFonts w:cs="Courier New"/>
      </w:rPr>
    </w:lvl>
    <w:lvl w:ilvl="5">
      <w:start w:val="1"/>
      <w:numFmt w:val="bullet"/>
      <w:lvlText w:val=""/>
      <w:lvlJc w:val="left"/>
      <w:pPr>
        <w:ind w:left="5029" w:hanging="360"/>
      </w:pPr>
      <w:rPr>
        <w:rFonts w:ascii="Wingdings" w:hAnsi="Wingdings" w:cs="Wingdings" w:hint="default"/>
        <w:rFonts w:cs="Wingdings"/>
      </w:rPr>
    </w:lvl>
    <w:lvl w:ilvl="6">
      <w:start w:val="1"/>
      <w:numFmt w:val="bullet"/>
      <w:lvlText w:val=""/>
      <w:lvlJc w:val="left"/>
      <w:pPr>
        <w:ind w:left="5749" w:hanging="360"/>
      </w:pPr>
      <w:rPr>
        <w:rFonts w:ascii="Symbol" w:hAnsi="Symbol" w:cs="Symbol" w:hint="default"/>
        <w:rFonts w:cs="Symbol"/>
      </w:rPr>
    </w:lvl>
    <w:lvl w:ilvl="7">
      <w:start w:val="1"/>
      <w:numFmt w:val="bullet"/>
      <w:lvlText w:val="o"/>
      <w:lvlJc w:val="left"/>
      <w:pPr>
        <w:ind w:left="6469" w:hanging="360"/>
      </w:pPr>
      <w:rPr>
        <w:rFonts w:ascii="Courier New" w:hAnsi="Courier New" w:cs="Courier New" w:hint="default"/>
        <w:rFonts w:cs="Courier New"/>
      </w:rPr>
    </w:lvl>
    <w:lvl w:ilvl="8">
      <w:start w:val="1"/>
      <w:numFmt w:val="bullet"/>
      <w:lvlText w:val=""/>
      <w:lvlJc w:val="left"/>
      <w:pPr>
        <w:ind w:left="7189" w:hanging="360"/>
      </w:pPr>
      <w:rPr>
        <w:rFonts w:ascii="Wingdings" w:hAnsi="Wingdings" w:cs="Wingdings" w:hint="default"/>
        <w:rFonts w:cs="Wingdings"/>
      </w:rPr>
    </w:lvl>
  </w:abstractNum>
  <w:abstractNum w:abstractNumId="9">
    <w:lvl w:ilvl="0">
      <w:start w:val="1"/>
      <w:numFmt w:val="bullet"/>
      <w:lvlText w:val=""/>
      <w:lvlJc w:val="left"/>
      <w:pPr>
        <w:ind w:left="1429" w:hanging="360"/>
      </w:pPr>
      <w:rPr>
        <w:rFonts w:ascii="Symbol" w:hAnsi="Symbol" w:cs="Symbol" w:hint="default"/>
        <w:sz w:val="24"/>
        <w:rFonts w:cs="Symbol"/>
      </w:rPr>
    </w:lvl>
    <w:lvl w:ilvl="1">
      <w:start w:val="1"/>
      <w:numFmt w:val="bullet"/>
      <w:lvlText w:val="o"/>
      <w:lvlJc w:val="left"/>
      <w:pPr>
        <w:ind w:left="2149" w:hanging="360"/>
      </w:pPr>
      <w:rPr>
        <w:rFonts w:ascii="Courier New" w:hAnsi="Courier New" w:cs="Courier New" w:hint="default"/>
        <w:rFonts w:cs="Courier New"/>
      </w:rPr>
    </w:lvl>
    <w:lvl w:ilvl="2">
      <w:start w:val="1"/>
      <w:numFmt w:val="bullet"/>
      <w:lvlText w:val=""/>
      <w:lvlJc w:val="left"/>
      <w:pPr>
        <w:ind w:left="2869" w:hanging="360"/>
      </w:pPr>
      <w:rPr>
        <w:rFonts w:ascii="Wingdings" w:hAnsi="Wingdings" w:cs="Wingdings" w:hint="default"/>
        <w:rFonts w:cs="Wingdings"/>
      </w:rPr>
    </w:lvl>
    <w:lvl w:ilvl="3">
      <w:start w:val="1"/>
      <w:numFmt w:val="bullet"/>
      <w:lvlText w:val=""/>
      <w:lvlJc w:val="left"/>
      <w:pPr>
        <w:ind w:left="3589" w:hanging="360"/>
      </w:pPr>
      <w:rPr>
        <w:rFonts w:ascii="Symbol" w:hAnsi="Symbol" w:cs="Symbol" w:hint="default"/>
        <w:rFonts w:cs="Symbol"/>
      </w:rPr>
    </w:lvl>
    <w:lvl w:ilvl="4">
      <w:start w:val="1"/>
      <w:numFmt w:val="bullet"/>
      <w:lvlText w:val="o"/>
      <w:lvlJc w:val="left"/>
      <w:pPr>
        <w:ind w:left="4309" w:hanging="360"/>
      </w:pPr>
      <w:rPr>
        <w:rFonts w:ascii="Courier New" w:hAnsi="Courier New" w:cs="Courier New" w:hint="default"/>
        <w:rFonts w:cs="Courier New"/>
      </w:rPr>
    </w:lvl>
    <w:lvl w:ilvl="5">
      <w:start w:val="1"/>
      <w:numFmt w:val="bullet"/>
      <w:lvlText w:val=""/>
      <w:lvlJc w:val="left"/>
      <w:pPr>
        <w:ind w:left="5029" w:hanging="360"/>
      </w:pPr>
      <w:rPr>
        <w:rFonts w:ascii="Wingdings" w:hAnsi="Wingdings" w:cs="Wingdings" w:hint="default"/>
        <w:rFonts w:cs="Wingdings"/>
      </w:rPr>
    </w:lvl>
    <w:lvl w:ilvl="6">
      <w:start w:val="1"/>
      <w:numFmt w:val="bullet"/>
      <w:lvlText w:val=""/>
      <w:lvlJc w:val="left"/>
      <w:pPr>
        <w:ind w:left="5749" w:hanging="360"/>
      </w:pPr>
      <w:rPr>
        <w:rFonts w:ascii="Symbol" w:hAnsi="Symbol" w:cs="Symbol" w:hint="default"/>
        <w:rFonts w:cs="Symbol"/>
      </w:rPr>
    </w:lvl>
    <w:lvl w:ilvl="7">
      <w:start w:val="1"/>
      <w:numFmt w:val="bullet"/>
      <w:lvlText w:val="o"/>
      <w:lvlJc w:val="left"/>
      <w:pPr>
        <w:ind w:left="6469" w:hanging="360"/>
      </w:pPr>
      <w:rPr>
        <w:rFonts w:ascii="Courier New" w:hAnsi="Courier New" w:cs="Courier New" w:hint="default"/>
        <w:rFonts w:cs="Courier New"/>
      </w:rPr>
    </w:lvl>
    <w:lvl w:ilvl="8">
      <w:start w:val="1"/>
      <w:numFmt w:val="bullet"/>
      <w:lvlText w:val=""/>
      <w:lvlJc w:val="left"/>
      <w:pPr>
        <w:ind w:left="7189" w:hanging="360"/>
      </w:pPr>
      <w:rPr>
        <w:rFonts w:ascii="Wingdings" w:hAnsi="Wingdings" w:cs="Wingdings" w:hint="default"/>
        <w:rFonts w:cs="Wingdings"/>
      </w:rPr>
    </w:lvl>
  </w:abstractNum>
  <w:abstractNum w:abstractNumId="10">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w="http://schemas.openxmlformats.org/wordprocessingml/2006/main">
  <w:zoom w:percent="90"/>
  <w:defaultTabStop w:val="708"/>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Cs w:val="22"/>
        <w:lang w:val="ru-RU" w:eastAsia="en-US" w:bidi="ar-SA"/>
      </w:rPr>
    </w:rPrDefault>
    <w:pPrDefault>
      <w:pPr/>
    </w:pPrDefault>
  </w:docDefaults>
  <w:latentStyles w:defLockedState="0" w:defUIPriority="0" w:defSemiHidden="0" w:defUnhideWhenUsed="0" w:defQFormat="0" w:count="371">
    <w:lsdException w:name="Normal" w:qFormat="1"/>
    <w:lsdException w:name="heading 1" w:uiPriority="9" w:qFormat="1"/>
    <w:lsdException w:name="heading 2" w:uiPriority="9" w:semiHidden="1" w:unhideWhenUsed="1" w:qFormat="1"/>
    <w:lsdException w:name="heading 3" w:semiHidden="1" w:unhideWhenUsed="1" w:qFormat="1"/>
    <w:lsdException w:name="heading 4"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99" w:semiHidden="1" w:unhideWhenUsed="1"/>
    <w:lsdException w:name="annotation text" w:uiPriority="99" w:semiHidden="1" w:unhideWhenUsed="1"/>
    <w:lsdException w:name="header" w:uiPriority="99" w:semiHidden="1" w:unhideWhenUsed="1"/>
    <w:lsdException w:name="footer" w:uiPriority="99"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99" w:semiHidden="1" w:unhideWhenUsed="1"/>
    <w:lsdException w:name="annotation reference" w:uiPriority="99" w:semiHidden="1" w:unhideWhenUsed="1"/>
    <w:lsdException w:name="line number" w:semiHidden="1" w:unhideWhenUsed="1"/>
    <w:lsdException w:name="page number" w:semiHidden="1" w:unhideWhenUsed="1"/>
    <w:lsdException w:name="endnote reference" w:semiHidden="1" w:unhideWhenUsed="1"/>
    <w:lsdException w:name="endnote text" w:uiPriority="99"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uiPriority="99"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uiPriority="99" w:semiHidden="1" w:unhideWhenUsed="1"/>
    <w:lsdException w:name="HTML Bottom of Form" w:uiPriority="99"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iPriority="99" w:semiHidden="1" w:unhideWhenUsed="1"/>
    <w:lsdException w:name="annotation subject" w:uiPriority="99"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fc5842"/>
    <w:pPr>
      <w:widowControl/>
      <w:bidi w:val="0"/>
      <w:spacing w:lineRule="auto" w:line="259" w:before="0" w:after="160"/>
      <w:jc w:val="left"/>
    </w:pPr>
    <w:rPr>
      <w:rFonts w:ascii="Calibri" w:hAnsi="Calibri" w:eastAsia="Calibri" w:cs="" w:asciiTheme="minorHAnsi" w:cstheme="minorBidi" w:eastAsiaTheme="minorHAnsi" w:hAnsiTheme="minorHAnsi"/>
      <w:color w:val="00000A"/>
      <w:sz w:val="22"/>
      <w:szCs w:val="22"/>
      <w:lang w:val="ru-RU" w:eastAsia="en-US" w:bidi="ar-SA"/>
    </w:rPr>
  </w:style>
  <w:style w:type="paragraph" w:styleId="1">
    <w:name w:val="Heading 1"/>
    <w:basedOn w:val="Normal"/>
    <w:link w:val="14"/>
    <w:uiPriority w:val="9"/>
    <w:qFormat/>
    <w:rsid w:val="009e5697"/>
    <w:pPr>
      <w:keepNext/>
      <w:keepLines/>
      <w:spacing w:before="240" w:after="0"/>
      <w:outlineLvl w:val="0"/>
    </w:pPr>
    <w:rPr>
      <w:rFonts w:ascii="Calibri Light" w:hAnsi="Calibri Light" w:eastAsia="" w:cs="" w:asciiTheme="majorHAnsi" w:cstheme="majorBidi" w:eastAsiaTheme="majorEastAsia" w:hAnsiTheme="majorHAnsi"/>
      <w:color w:val="2E74B5" w:themeColor="accent1" w:themeShade="bf"/>
      <w:sz w:val="32"/>
      <w:szCs w:val="32"/>
    </w:rPr>
  </w:style>
  <w:style w:type="paragraph" w:styleId="2">
    <w:name w:val="Heading 2"/>
    <w:basedOn w:val="Normal"/>
    <w:link w:val="21"/>
    <w:uiPriority w:val="9"/>
    <w:unhideWhenUsed/>
    <w:qFormat/>
    <w:rsid w:val="00f515c3"/>
    <w:pPr>
      <w:keepNext/>
      <w:keepLines/>
      <w:spacing w:before="40" w:after="0"/>
      <w:outlineLvl w:val="1"/>
    </w:pPr>
    <w:rPr>
      <w:rFonts w:ascii="Calibri Light" w:hAnsi="Calibri Light" w:eastAsia="" w:cs="" w:asciiTheme="majorHAnsi" w:cstheme="majorBidi" w:eastAsiaTheme="majorEastAsia" w:hAnsiTheme="majorHAnsi"/>
      <w:color w:val="2E74B5" w:themeColor="accent1" w:themeShade="bf"/>
      <w:sz w:val="26"/>
      <w:szCs w:val="26"/>
    </w:rPr>
  </w:style>
  <w:style w:type="paragraph" w:styleId="3">
    <w:name w:val="Heading 3"/>
    <w:basedOn w:val="Normal"/>
    <w:link w:val="31"/>
    <w:qFormat/>
    <w:rsid w:val="00ea4301"/>
    <w:pPr>
      <w:spacing w:lineRule="auto" w:line="240" w:before="0" w:after="0"/>
      <w:ind w:left="1080" w:hanging="360"/>
      <w:jc w:val="both"/>
      <w:outlineLvl w:val="2"/>
    </w:pPr>
    <w:rPr>
      <w:rFonts w:ascii="Times New Roman" w:hAnsi="Times New Roman" w:eastAsia="" w:cs="" w:cstheme="majorBidi" w:eastAsiaTheme="majorEastAsia"/>
      <w:bCs/>
      <w:sz w:val="24"/>
      <w:szCs w:val="27"/>
      <w:lang w:eastAsia="ru-RU"/>
    </w:rPr>
  </w:style>
  <w:style w:type="paragraph" w:styleId="4">
    <w:name w:val="Heading 4"/>
    <w:basedOn w:val="Normal"/>
    <w:link w:val="41"/>
    <w:unhideWhenUsed/>
    <w:qFormat/>
    <w:rsid w:val="00fc5842"/>
    <w:pPr>
      <w:keepNext/>
      <w:keepLines/>
      <w:spacing w:before="40" w:after="0"/>
      <w:outlineLvl w:val="3"/>
    </w:pPr>
    <w:rPr>
      <w:rFonts w:ascii="Calibri Light" w:hAnsi="Calibri Light" w:eastAsia="" w:cs="" w:asciiTheme="majorHAnsi" w:cstheme="majorBidi" w:eastAsiaTheme="majorEastAsia" w:hAnsiTheme="majorHAnsi"/>
      <w:i/>
      <w:iCs/>
      <w:color w:val="2E74B5" w:themeColor="accent1" w:themeShade="bf"/>
    </w:rPr>
  </w:style>
  <w:style w:type="paragraph" w:styleId="5">
    <w:name w:val="Heading 5"/>
    <w:basedOn w:val="Normal"/>
    <w:link w:val="51"/>
    <w:uiPriority w:val="9"/>
    <w:qFormat/>
    <w:rsid w:val="00ea4301"/>
    <w:pPr>
      <w:spacing w:lineRule="auto" w:line="240" w:beforeAutospacing="1" w:afterAutospacing="1"/>
      <w:outlineLvl w:val="4"/>
    </w:pPr>
    <w:rPr>
      <w:rFonts w:ascii="Times New Roman" w:hAnsi="Times New Roman" w:eastAsia="" w:cs="" w:cstheme="majorBidi" w:eastAsiaTheme="majorEastAsia"/>
      <w:b/>
      <w:bCs/>
      <w:sz w:val="20"/>
      <w:szCs w:val="20"/>
      <w:lang w:eastAsia="ru-RU"/>
    </w:rPr>
  </w:style>
  <w:style w:type="paragraph" w:styleId="6">
    <w:name w:val="Heading 6"/>
    <w:basedOn w:val="Normal"/>
    <w:link w:val="61"/>
    <w:uiPriority w:val="9"/>
    <w:qFormat/>
    <w:rsid w:val="00ea4301"/>
    <w:pPr>
      <w:spacing w:lineRule="auto" w:line="240" w:beforeAutospacing="1" w:afterAutospacing="1"/>
      <w:outlineLvl w:val="5"/>
    </w:pPr>
    <w:rPr>
      <w:rFonts w:ascii="Times New Roman" w:hAnsi="Times New Roman" w:eastAsia="" w:cs="" w:cstheme="majorBidi" w:eastAsiaTheme="majorEastAsia"/>
      <w:b/>
      <w:bCs/>
      <w:sz w:val="15"/>
      <w:szCs w:val="15"/>
      <w:lang w:eastAsia="ru-RU"/>
    </w:rPr>
  </w:style>
  <w:style w:type="paragraph" w:styleId="7">
    <w:name w:val="Heading 7"/>
    <w:basedOn w:val="Normal"/>
    <w:link w:val="70"/>
    <w:uiPriority w:val="9"/>
    <w:qFormat/>
    <w:rsid w:val="00ea4301"/>
    <w:pPr>
      <w:spacing w:lineRule="auto" w:line="240" w:before="240" w:after="60"/>
      <w:ind w:firstLine="567"/>
      <w:outlineLvl w:val="6"/>
    </w:pPr>
    <w:rPr>
      <w:rFonts w:ascii="Times New Roman" w:hAnsi="Times New Roman" w:eastAsia="" w:cs="" w:cstheme="majorBidi" w:eastAsiaTheme="majorEastAsia"/>
      <w:sz w:val="24"/>
      <w:szCs w:val="24"/>
      <w:lang w:eastAsia="ru-RU"/>
    </w:rPr>
  </w:style>
  <w:style w:type="paragraph" w:styleId="8">
    <w:name w:val="Heading 8"/>
    <w:basedOn w:val="Normal"/>
    <w:link w:val="80"/>
    <w:uiPriority w:val="9"/>
    <w:qFormat/>
    <w:rsid w:val="00ea4301"/>
    <w:pPr>
      <w:spacing w:lineRule="auto" w:line="240" w:before="240" w:after="60"/>
      <w:ind w:firstLine="567"/>
      <w:outlineLvl w:val="7"/>
    </w:pPr>
    <w:rPr>
      <w:rFonts w:ascii="Times New Roman" w:hAnsi="Times New Roman" w:eastAsia="" w:cs="" w:cstheme="majorBidi" w:eastAsiaTheme="majorEastAsia"/>
      <w:i/>
      <w:iCs/>
      <w:sz w:val="24"/>
      <w:szCs w:val="24"/>
      <w:lang w:eastAsia="ru-RU"/>
    </w:rPr>
  </w:style>
  <w:style w:type="paragraph" w:styleId="9">
    <w:name w:val="Heading 9"/>
    <w:basedOn w:val="Normal"/>
    <w:link w:val="90"/>
    <w:uiPriority w:val="9"/>
    <w:qFormat/>
    <w:rsid w:val="00ea4301"/>
    <w:pPr>
      <w:spacing w:lineRule="auto" w:line="240" w:before="240" w:after="60"/>
      <w:ind w:firstLine="567"/>
      <w:outlineLvl w:val="8"/>
    </w:pPr>
    <w:rPr>
      <w:rFonts w:ascii="Arial" w:hAnsi="Arial" w:eastAsia="" w:cs="Arial" w:eastAsiaTheme="majorEastAsia"/>
      <w:lang w:eastAsia="ru-RU"/>
    </w:rPr>
  </w:style>
  <w:style w:type="character" w:styleId="DefaultParagraphFont" w:default="1">
    <w:name w:val="Default Paragraph Font"/>
    <w:uiPriority w:val="1"/>
    <w:semiHidden/>
    <w:unhideWhenUsed/>
    <w:qFormat/>
    <w:rPr/>
  </w:style>
  <w:style w:type="character" w:styleId="11" w:customStyle="1">
    <w:name w:val="Заголовок 1 Знак"/>
    <w:basedOn w:val="DefaultParagraphFont"/>
    <w:link w:val="13"/>
    <w:uiPriority w:val="9"/>
    <w:qFormat/>
    <w:rsid w:val="009e5697"/>
    <w:rPr>
      <w:rFonts w:ascii="Calibri Light" w:hAnsi="Calibri Light" w:eastAsia="" w:cs="" w:asciiTheme="majorHAnsi" w:cstheme="majorBidi" w:eastAsiaTheme="majorEastAsia" w:hAnsiTheme="majorHAnsi"/>
      <w:color w:val="2E74B5" w:themeColor="accent1" w:themeShade="bf"/>
      <w:sz w:val="32"/>
      <w:szCs w:val="32"/>
    </w:rPr>
  </w:style>
  <w:style w:type="character" w:styleId="21" w:customStyle="1">
    <w:name w:val="Заголовок 2 Знак"/>
    <w:basedOn w:val="DefaultParagraphFont"/>
    <w:link w:val="20"/>
    <w:uiPriority w:val="9"/>
    <w:qFormat/>
    <w:rsid w:val="00f515c3"/>
    <w:rPr>
      <w:rFonts w:ascii="Calibri Light" w:hAnsi="Calibri Light" w:eastAsia="" w:cs="" w:asciiTheme="majorHAnsi" w:cstheme="majorBidi" w:eastAsiaTheme="majorEastAsia" w:hAnsiTheme="majorHAnsi"/>
      <w:color w:val="2E74B5" w:themeColor="accent1" w:themeShade="bf"/>
      <w:sz w:val="26"/>
      <w:szCs w:val="26"/>
    </w:rPr>
  </w:style>
  <w:style w:type="character" w:styleId="41" w:customStyle="1">
    <w:name w:val="Заголовок 4 Знак"/>
    <w:basedOn w:val="DefaultParagraphFont"/>
    <w:link w:val="40"/>
    <w:qFormat/>
    <w:rsid w:val="00fc5842"/>
    <w:rPr>
      <w:rFonts w:ascii="Calibri Light" w:hAnsi="Calibri Light" w:eastAsia="" w:cs="" w:asciiTheme="majorHAnsi" w:cstheme="majorBidi" w:eastAsiaTheme="majorEastAsia" w:hAnsiTheme="majorHAnsi"/>
      <w:i/>
      <w:iCs/>
      <w:color w:val="2E74B5" w:themeColor="accent1" w:themeShade="bf"/>
    </w:rPr>
  </w:style>
  <w:style w:type="character" w:styleId="Style5">
    <w:name w:val="Интернет-ссылка"/>
    <w:basedOn w:val="DefaultParagraphFont"/>
    <w:uiPriority w:val="99"/>
    <w:unhideWhenUsed/>
    <w:rsid w:val="0054234c"/>
    <w:rPr>
      <w:color w:val="0563C1" w:themeColor="hyperlink"/>
      <w:u w:val="single"/>
    </w:rPr>
  </w:style>
  <w:style w:type="character" w:styleId="31" w:customStyle="1">
    <w:name w:val="Заголовок 3 Знак"/>
    <w:basedOn w:val="DefaultParagraphFont"/>
    <w:link w:val="30"/>
    <w:qFormat/>
    <w:rsid w:val="00ea4301"/>
    <w:rPr>
      <w:rFonts w:ascii="Times New Roman" w:hAnsi="Times New Roman" w:eastAsia="" w:cs="" w:cstheme="majorBidi" w:eastAsiaTheme="majorEastAsia"/>
      <w:bCs/>
      <w:sz w:val="24"/>
      <w:szCs w:val="27"/>
      <w:lang w:eastAsia="ru-RU"/>
    </w:rPr>
  </w:style>
  <w:style w:type="character" w:styleId="51" w:customStyle="1">
    <w:name w:val="Заголовок 5 Знак"/>
    <w:basedOn w:val="DefaultParagraphFont"/>
    <w:link w:val="50"/>
    <w:uiPriority w:val="9"/>
    <w:qFormat/>
    <w:rsid w:val="00ea4301"/>
    <w:rPr>
      <w:rFonts w:ascii="Times New Roman" w:hAnsi="Times New Roman" w:eastAsia="" w:cs="" w:cstheme="majorBidi" w:eastAsiaTheme="majorEastAsia"/>
      <w:b/>
      <w:bCs/>
      <w:sz w:val="20"/>
      <w:szCs w:val="20"/>
      <w:lang w:eastAsia="ru-RU"/>
    </w:rPr>
  </w:style>
  <w:style w:type="character" w:styleId="61" w:customStyle="1">
    <w:name w:val="Заголовок 6 Знак"/>
    <w:basedOn w:val="DefaultParagraphFont"/>
    <w:link w:val="60"/>
    <w:uiPriority w:val="9"/>
    <w:qFormat/>
    <w:rsid w:val="00ea4301"/>
    <w:rPr>
      <w:rFonts w:ascii="Times New Roman" w:hAnsi="Times New Roman" w:eastAsia="" w:cs="" w:cstheme="majorBidi" w:eastAsiaTheme="majorEastAsia"/>
      <w:b/>
      <w:bCs/>
      <w:sz w:val="15"/>
      <w:szCs w:val="15"/>
      <w:lang w:eastAsia="ru-RU"/>
    </w:rPr>
  </w:style>
  <w:style w:type="character" w:styleId="71" w:customStyle="1">
    <w:name w:val="Заголовок 7 Знак"/>
    <w:basedOn w:val="DefaultParagraphFont"/>
    <w:link w:val="7"/>
    <w:uiPriority w:val="9"/>
    <w:qFormat/>
    <w:rsid w:val="00ea4301"/>
    <w:rPr>
      <w:rFonts w:ascii="Times New Roman" w:hAnsi="Times New Roman" w:eastAsia="" w:cs="" w:cstheme="majorBidi" w:eastAsiaTheme="majorEastAsia"/>
      <w:sz w:val="24"/>
      <w:szCs w:val="24"/>
      <w:lang w:eastAsia="ru-RU"/>
    </w:rPr>
  </w:style>
  <w:style w:type="character" w:styleId="81" w:customStyle="1">
    <w:name w:val="Заголовок 8 Знак"/>
    <w:basedOn w:val="DefaultParagraphFont"/>
    <w:link w:val="8"/>
    <w:uiPriority w:val="9"/>
    <w:qFormat/>
    <w:rsid w:val="00ea4301"/>
    <w:rPr>
      <w:rFonts w:ascii="Times New Roman" w:hAnsi="Times New Roman" w:eastAsia="" w:cs="" w:cstheme="majorBidi" w:eastAsiaTheme="majorEastAsia"/>
      <w:i/>
      <w:iCs/>
      <w:sz w:val="24"/>
      <w:szCs w:val="24"/>
      <w:lang w:eastAsia="ru-RU"/>
    </w:rPr>
  </w:style>
  <w:style w:type="character" w:styleId="91" w:customStyle="1">
    <w:name w:val="Заголовок 9 Знак"/>
    <w:basedOn w:val="DefaultParagraphFont"/>
    <w:link w:val="9"/>
    <w:uiPriority w:val="9"/>
    <w:qFormat/>
    <w:rsid w:val="00ea4301"/>
    <w:rPr>
      <w:rFonts w:ascii="Arial" w:hAnsi="Arial" w:eastAsia="" w:cs="Arial" w:eastAsiaTheme="majorEastAsia"/>
      <w:lang w:eastAsia="ru-RU"/>
    </w:rPr>
  </w:style>
  <w:style w:type="character" w:styleId="22" w:customStyle="1">
    <w:name w:val="Оглавление 2 Знак"/>
    <w:basedOn w:val="DefaultParagraphFont"/>
    <w:link w:val="22"/>
    <w:uiPriority w:val="39"/>
    <w:qFormat/>
    <w:rsid w:val="00ea4301"/>
    <w:rPr/>
  </w:style>
  <w:style w:type="character" w:styleId="Bodytext7" w:customStyle="1">
    <w:name w:val="Body text (7)_"/>
    <w:link w:val="Bodytext7"/>
    <w:qFormat/>
    <w:locked/>
    <w:rsid w:val="00ea4301"/>
    <w:rPr>
      <w:rFonts w:ascii="Consolas" w:hAnsi="Consolas"/>
      <w:i/>
      <w:spacing w:val="-10"/>
      <w:sz w:val="26"/>
      <w:shd w:fill="FFFFFF" w:val="clear"/>
    </w:rPr>
  </w:style>
  <w:style w:type="character" w:styleId="ConsPlusNormal" w:customStyle="1">
    <w:name w:val="ConsPlusNormal Знак"/>
    <w:link w:val="ConsPlusNormal"/>
    <w:qFormat/>
    <w:locked/>
    <w:rsid w:val="00ea4301"/>
    <w:rPr>
      <w:rFonts w:ascii="Arial" w:hAnsi="Arial" w:eastAsia="Times New Roman" w:cs="Arial"/>
      <w:sz w:val="20"/>
      <w:szCs w:val="20"/>
      <w:lang w:eastAsia="ru-RU"/>
    </w:rPr>
  </w:style>
  <w:style w:type="character" w:styleId="Style6" w:customStyle="1">
    <w:name w:val="Абзац Знак"/>
    <w:link w:val="af5"/>
    <w:qFormat/>
    <w:rsid w:val="00ea4301"/>
    <w:rPr>
      <w:rFonts w:ascii="Times New Roman" w:hAnsi="Times New Roman" w:eastAsia="Times New Roman" w:cs="Times New Roman"/>
      <w:sz w:val="24"/>
      <w:szCs w:val="24"/>
      <w:lang w:eastAsia="ru-RU"/>
    </w:rPr>
  </w:style>
  <w:style w:type="character" w:styleId="Style7" w:customStyle="1">
    <w:name w:val="Табличный_нумерованный Знак"/>
    <w:link w:val="a3"/>
    <w:qFormat/>
    <w:rsid w:val="00ea4301"/>
    <w:rPr>
      <w:rFonts w:ascii="Times New Roman" w:hAnsi="Times New Roman" w:eastAsia="Times New Roman" w:cs="Times New Roman"/>
      <w:lang w:eastAsia="ru-RU"/>
    </w:rPr>
  </w:style>
  <w:style w:type="character" w:styleId="S" w:customStyle="1">
    <w:name w:val="S_Обычный Знак"/>
    <w:link w:val="S5"/>
    <w:qFormat/>
    <w:rsid w:val="00ea4301"/>
    <w:rPr>
      <w:rFonts w:ascii="Times New Roman" w:hAnsi="Times New Roman" w:eastAsia="Times New Roman" w:cs="Times New Roman"/>
      <w:sz w:val="24"/>
      <w:szCs w:val="24"/>
      <w:lang w:eastAsia="ar-SA"/>
    </w:rPr>
  </w:style>
  <w:style w:type="character" w:styleId="Style8" w:customStyle="1">
    <w:name w:val="ТЕКСТ ГРАД Знак"/>
    <w:link w:val="aff3"/>
    <w:qFormat/>
    <w:rsid w:val="00ea4301"/>
    <w:rPr>
      <w:rFonts w:ascii="Times New Roman" w:hAnsi="Times New Roman" w:eastAsia="Times New Roman" w:cs="Times New Roman"/>
      <w:sz w:val="24"/>
      <w:szCs w:val="24"/>
      <w:lang w:eastAsia="ru-RU"/>
    </w:rPr>
  </w:style>
  <w:style w:type="character" w:styleId="Style9" w:customStyle="1">
    <w:name w:val="ООО  «Институт Территориального Планирования Знак"/>
    <w:link w:val="aff5"/>
    <w:qFormat/>
    <w:rsid w:val="00ea4301"/>
    <w:rPr>
      <w:rFonts w:ascii="Times New Roman" w:hAnsi="Times New Roman" w:eastAsia="Times New Roman" w:cs="Times New Roman"/>
      <w:sz w:val="24"/>
      <w:szCs w:val="24"/>
      <w:lang w:eastAsia="ru-RU"/>
    </w:rPr>
  </w:style>
  <w:style w:type="character" w:styleId="S1" w:customStyle="1">
    <w:name w:val="S_Обычный в таблице Знак"/>
    <w:link w:val="S8"/>
    <w:qFormat/>
    <w:rsid w:val="00ea4301"/>
    <w:rPr>
      <w:rFonts w:ascii="Times New Roman" w:hAnsi="Times New Roman" w:eastAsia="Times New Roman" w:cs="Times New Roman"/>
      <w:sz w:val="24"/>
      <w:szCs w:val="24"/>
      <w:lang w:eastAsia="ru-RU"/>
    </w:rPr>
  </w:style>
  <w:style w:type="character" w:styleId="S4" w:customStyle="1">
    <w:name w:val="S_Заголовок 4 Знак"/>
    <w:link w:val="S4"/>
    <w:qFormat/>
    <w:locked/>
    <w:rsid w:val="00ea4301"/>
    <w:rPr>
      <w:rFonts w:ascii="Times New Roman" w:hAnsi="Times New Roman" w:eastAsia="Times New Roman" w:cs="Times New Roman"/>
      <w:i/>
      <w:sz w:val="24"/>
      <w:szCs w:val="24"/>
      <w:lang w:eastAsia="ru-RU"/>
    </w:rPr>
  </w:style>
  <w:style w:type="character" w:styleId="Style10" w:customStyle="1">
    <w:name w:val="ГРАД Основной текст Знак Знак"/>
    <w:link w:val="aff7"/>
    <w:qFormat/>
    <w:rsid w:val="00ea4301"/>
    <w:rPr>
      <w:rFonts w:ascii="Times New Roman" w:hAnsi="Times New Roman" w:eastAsia="Calibri" w:cs="Times New Roman"/>
      <w:bCs/>
      <w:spacing w:val="4"/>
      <w:w w:val="109"/>
      <w:sz w:val="24"/>
      <w:szCs w:val="28"/>
      <w:lang w:bidi="en-US"/>
    </w:rPr>
  </w:style>
  <w:style w:type="character" w:styleId="S2" w:customStyle="1">
    <w:name w:val="S_Нумерованный Знак Знак"/>
    <w:link w:val="S"/>
    <w:qFormat/>
    <w:locked/>
    <w:rsid w:val="00ea4301"/>
    <w:rPr>
      <w:rFonts w:ascii="Times New Roman" w:hAnsi="Times New Roman" w:eastAsia="Times New Roman" w:cs="Times New Roman"/>
      <w:sz w:val="24"/>
      <w:szCs w:val="24"/>
      <w:lang w:eastAsia="ru-RU"/>
    </w:rPr>
  </w:style>
  <w:style w:type="character" w:styleId="ConsNormal" w:customStyle="1">
    <w:name w:val="ConsNormal Знак"/>
    <w:link w:val="ConsNormal"/>
    <w:qFormat/>
    <w:locked/>
    <w:rsid w:val="00ea4301"/>
    <w:rPr>
      <w:rFonts w:ascii="Arial" w:hAnsi="Arial" w:eastAsia="Times New Roman" w:cs="Times New Roman"/>
      <w:sz w:val="20"/>
      <w:szCs w:val="20"/>
      <w:lang w:eastAsia="ru-RU"/>
    </w:rPr>
  </w:style>
  <w:style w:type="character" w:styleId="ConsNonformat" w:customStyle="1">
    <w:name w:val="ConsNonformat Знак"/>
    <w:link w:val="ConsNonformat"/>
    <w:qFormat/>
    <w:locked/>
    <w:rsid w:val="00ea4301"/>
    <w:rPr>
      <w:rFonts w:ascii="Courier New" w:hAnsi="Courier New" w:eastAsia="Arial" w:cs="Times New Roman"/>
      <w:sz w:val="20"/>
      <w:szCs w:val="20"/>
      <w:lang w:eastAsia="ar-SA"/>
    </w:rPr>
  </w:style>
  <w:style w:type="character" w:styleId="Style11" w:customStyle="1">
    <w:name w:val="_абзац Знак"/>
    <w:link w:val="affb"/>
    <w:qFormat/>
    <w:rsid w:val="00ea4301"/>
    <w:rPr>
      <w:rFonts w:ascii="Times New Roman" w:hAnsi="Times New Roman" w:eastAsia="Times New Roman" w:cs="Times New Roman"/>
      <w:sz w:val="24"/>
      <w:szCs w:val="24"/>
      <w:lang w:eastAsia="ru-RU"/>
    </w:rPr>
  </w:style>
  <w:style w:type="character" w:styleId="Submenutable" w:customStyle="1">
    <w:name w:val="submenu-table"/>
    <w:qFormat/>
    <w:rsid w:val="00ea4301"/>
    <w:rPr/>
  </w:style>
  <w:style w:type="character" w:styleId="Ftshit" w:customStyle="1">
    <w:name w:val="fts-hit"/>
    <w:qFormat/>
    <w:rsid w:val="00ea4301"/>
    <w:rPr/>
  </w:style>
  <w:style w:type="character" w:styleId="Style12" w:customStyle="1">
    <w:name w:val="Закладка Знак"/>
    <w:link w:val="affe"/>
    <w:qFormat/>
    <w:rsid w:val="00ea4301"/>
    <w:rPr>
      <w:rFonts w:ascii="Times New Roman" w:hAnsi="Times New Roman" w:eastAsia="Times New Roman" w:cs="Times New Roman"/>
      <w:b/>
      <w:bCs/>
      <w:color w:val="365F91"/>
      <w:sz w:val="24"/>
      <w:szCs w:val="32"/>
    </w:rPr>
  </w:style>
  <w:style w:type="character" w:styleId="S3" w:customStyle="1">
    <w:name w:val="S_Таблица Знак"/>
    <w:link w:val="S0"/>
    <w:qFormat/>
    <w:locked/>
    <w:rsid w:val="00ea4301"/>
    <w:rPr>
      <w:sz w:val="24"/>
      <w:szCs w:val="24"/>
    </w:rPr>
  </w:style>
  <w:style w:type="character" w:styleId="Style13" w:customStyle="1">
    <w:name w:val="Основной текст с отступом Знак"/>
    <w:basedOn w:val="DefaultParagraphFont"/>
    <w:link w:val="afff1"/>
    <w:qFormat/>
    <w:rsid w:val="00ea4301"/>
    <w:rPr>
      <w:rFonts w:ascii="Times New Roman" w:hAnsi="Times New Roman" w:cs="Courier New"/>
      <w:sz w:val="24"/>
      <w:szCs w:val="24"/>
      <w:lang w:eastAsia="ru-RU"/>
    </w:rPr>
  </w:style>
  <w:style w:type="character" w:styleId="FontStyle20" w:customStyle="1">
    <w:name w:val="Font Style20"/>
    <w:qFormat/>
    <w:rsid w:val="00ea4301"/>
    <w:rPr>
      <w:rFonts w:ascii="Times New Roman" w:hAnsi="Times New Roman" w:cs="Times New Roman"/>
      <w:sz w:val="22"/>
      <w:szCs w:val="22"/>
    </w:rPr>
  </w:style>
  <w:style w:type="character" w:styleId="Style14" w:customStyle="1">
    <w:name w:val="Символ сноски"/>
    <w:qFormat/>
    <w:rsid w:val="00ea4301"/>
    <w:rPr/>
  </w:style>
  <w:style w:type="character" w:styleId="Appleconvertedspace" w:customStyle="1">
    <w:name w:val="apple-converted-space"/>
    <w:qFormat/>
    <w:rsid w:val="00ea4301"/>
    <w:rPr/>
  </w:style>
  <w:style w:type="character" w:styleId="Ep" w:customStyle="1">
    <w:name w:val="ep"/>
    <w:qFormat/>
    <w:rsid w:val="00ea4301"/>
    <w:rPr/>
  </w:style>
  <w:style w:type="character" w:styleId="WW8Num3z0" w:customStyle="1">
    <w:name w:val="WW8Num3z0"/>
    <w:qFormat/>
    <w:rsid w:val="00ea4301"/>
    <w:rPr>
      <w:rFonts w:ascii="StarSymbol" w:hAnsi="StarSymbol" w:cs="StarSymbol"/>
      <w:sz w:val="18"/>
      <w:szCs w:val="18"/>
    </w:rPr>
  </w:style>
  <w:style w:type="character" w:styleId="AbsatzStandardschriftart" w:customStyle="1">
    <w:name w:val="Absatz-Standardschriftart"/>
    <w:qFormat/>
    <w:rsid w:val="00ea4301"/>
    <w:rPr/>
  </w:style>
  <w:style w:type="character" w:styleId="WWAbsatzStandardschriftart" w:customStyle="1">
    <w:name w:val="WW-Absatz-Standardschriftart"/>
    <w:qFormat/>
    <w:rsid w:val="00ea4301"/>
    <w:rPr/>
  </w:style>
  <w:style w:type="character" w:styleId="42" w:customStyle="1">
    <w:name w:val="Основной шрифт абзаца4"/>
    <w:qFormat/>
    <w:rsid w:val="00ea4301"/>
    <w:rPr/>
  </w:style>
  <w:style w:type="character" w:styleId="32" w:customStyle="1">
    <w:name w:val="Основной шрифт абзаца3"/>
    <w:qFormat/>
    <w:rsid w:val="00ea4301"/>
    <w:rPr/>
  </w:style>
  <w:style w:type="character" w:styleId="WWAbsatzStandardschriftart1" w:customStyle="1">
    <w:name w:val="WW-Absatz-Standardschriftart1"/>
    <w:qFormat/>
    <w:rsid w:val="00ea4301"/>
    <w:rPr/>
  </w:style>
  <w:style w:type="character" w:styleId="WW8Num4z0" w:customStyle="1">
    <w:name w:val="WW8Num4z0"/>
    <w:qFormat/>
    <w:rsid w:val="00ea4301"/>
    <w:rPr>
      <w:rFonts w:ascii="StarSymbol" w:hAnsi="StarSymbol" w:cs="StarSymbol"/>
      <w:sz w:val="18"/>
      <w:szCs w:val="18"/>
    </w:rPr>
  </w:style>
  <w:style w:type="character" w:styleId="WW8Num8z0" w:customStyle="1">
    <w:name w:val="WW8Num8z0"/>
    <w:qFormat/>
    <w:rsid w:val="00ea4301"/>
    <w:rPr>
      <w:rFonts w:ascii="StarSymbol" w:hAnsi="StarSymbol" w:cs="StarSymbol"/>
      <w:sz w:val="18"/>
      <w:szCs w:val="18"/>
    </w:rPr>
  </w:style>
  <w:style w:type="character" w:styleId="WW8Num9z0" w:customStyle="1">
    <w:name w:val="WW8Num9z0"/>
    <w:qFormat/>
    <w:rsid w:val="00ea4301"/>
    <w:rPr>
      <w:rFonts w:ascii="Symbol" w:hAnsi="Symbol" w:cs="StarSymbol"/>
      <w:sz w:val="18"/>
      <w:szCs w:val="18"/>
    </w:rPr>
  </w:style>
  <w:style w:type="character" w:styleId="WW8Num11z0" w:customStyle="1">
    <w:name w:val="WW8Num11z0"/>
    <w:qFormat/>
    <w:rsid w:val="00ea4301"/>
    <w:rPr>
      <w:rFonts w:ascii="StarSymbol" w:hAnsi="StarSymbol" w:cs="StarSymbol"/>
      <w:sz w:val="18"/>
      <w:szCs w:val="18"/>
    </w:rPr>
  </w:style>
  <w:style w:type="character" w:styleId="23" w:customStyle="1">
    <w:name w:val="Основной шрифт абзаца2"/>
    <w:qFormat/>
    <w:rsid w:val="00ea4301"/>
    <w:rPr/>
  </w:style>
  <w:style w:type="character" w:styleId="WWAbsatzStandardschriftart11" w:customStyle="1">
    <w:name w:val="WW-Absatz-Standardschriftart11"/>
    <w:qFormat/>
    <w:rsid w:val="00ea4301"/>
    <w:rPr/>
  </w:style>
  <w:style w:type="character" w:styleId="WWAbsatzStandardschriftart111" w:customStyle="1">
    <w:name w:val="WW-Absatz-Standardschriftart111"/>
    <w:qFormat/>
    <w:rsid w:val="00ea4301"/>
    <w:rPr/>
  </w:style>
  <w:style w:type="character" w:styleId="WWAbsatzStandardschriftart1111" w:customStyle="1">
    <w:name w:val="WW-Absatz-Standardschriftart1111"/>
    <w:qFormat/>
    <w:rsid w:val="00ea4301"/>
    <w:rPr/>
  </w:style>
  <w:style w:type="character" w:styleId="WW8Num2z0" w:customStyle="1">
    <w:name w:val="WW8Num2z0"/>
    <w:qFormat/>
    <w:rsid w:val="00ea4301"/>
    <w:rPr>
      <w:rFonts w:ascii="StarSymbol" w:hAnsi="StarSymbol" w:cs="StarSymbol"/>
      <w:sz w:val="18"/>
      <w:szCs w:val="18"/>
    </w:rPr>
  </w:style>
  <w:style w:type="character" w:styleId="WW8Num7z0" w:customStyle="1">
    <w:name w:val="WW8Num7z0"/>
    <w:qFormat/>
    <w:rsid w:val="00ea4301"/>
    <w:rPr>
      <w:rFonts w:ascii="StarSymbol" w:hAnsi="StarSymbol" w:cs="StarSymbol"/>
      <w:sz w:val="18"/>
      <w:szCs w:val="18"/>
    </w:rPr>
  </w:style>
  <w:style w:type="character" w:styleId="WW8Num10z0" w:customStyle="1">
    <w:name w:val="WW8Num10z0"/>
    <w:qFormat/>
    <w:rsid w:val="00ea4301"/>
    <w:rPr>
      <w:rFonts w:ascii="Symbol" w:hAnsi="Symbol" w:cs="StarSymbol"/>
      <w:sz w:val="18"/>
      <w:szCs w:val="18"/>
    </w:rPr>
  </w:style>
  <w:style w:type="character" w:styleId="WWAbsatzStandardschriftart11111" w:customStyle="1">
    <w:name w:val="WW-Absatz-Standardschriftart11111"/>
    <w:qFormat/>
    <w:rsid w:val="00ea4301"/>
    <w:rPr/>
  </w:style>
  <w:style w:type="character" w:styleId="WWAbsatzStandardschriftart111111" w:customStyle="1">
    <w:name w:val="WW-Absatz-Standardschriftart111111"/>
    <w:qFormat/>
    <w:rsid w:val="00ea4301"/>
    <w:rPr/>
  </w:style>
  <w:style w:type="character" w:styleId="12" w:customStyle="1">
    <w:name w:val="Основной шрифт абзаца1"/>
    <w:qFormat/>
    <w:rsid w:val="00ea4301"/>
    <w:rPr/>
  </w:style>
  <w:style w:type="character" w:styleId="WWAbsatzStandardschriftart1111111" w:customStyle="1">
    <w:name w:val="WW-Absatz-Standardschriftart1111111"/>
    <w:qFormat/>
    <w:rsid w:val="00ea4301"/>
    <w:rPr/>
  </w:style>
  <w:style w:type="character" w:styleId="WWAbsatzStandardschriftart11111111" w:customStyle="1">
    <w:name w:val="WW-Absatz-Standardschriftart11111111"/>
    <w:qFormat/>
    <w:rsid w:val="00ea4301"/>
    <w:rPr/>
  </w:style>
  <w:style w:type="character" w:styleId="WWAbsatzStandardschriftart111111111" w:customStyle="1">
    <w:name w:val="WW-Absatz-Standardschriftart111111111"/>
    <w:qFormat/>
    <w:rsid w:val="00ea4301"/>
    <w:rPr/>
  </w:style>
  <w:style w:type="character" w:styleId="WWAbsatzStandardschriftart1111111111" w:customStyle="1">
    <w:name w:val="WW-Absatz-Standardschriftart1111111111"/>
    <w:qFormat/>
    <w:rsid w:val="00ea4301"/>
    <w:rPr/>
  </w:style>
  <w:style w:type="character" w:styleId="WWAbsatzStandardschriftart11111111111" w:customStyle="1">
    <w:name w:val="WW-Absatz-Standardschriftart11111111111"/>
    <w:qFormat/>
    <w:rsid w:val="00ea4301"/>
    <w:rPr/>
  </w:style>
  <w:style w:type="character" w:styleId="WWAbsatzStandardschriftart111111111111" w:customStyle="1">
    <w:name w:val="WW-Absatz-Standardschriftart111111111111"/>
    <w:qFormat/>
    <w:rsid w:val="00ea4301"/>
    <w:rPr/>
  </w:style>
  <w:style w:type="character" w:styleId="WW8Num5z0" w:customStyle="1">
    <w:name w:val="WW8Num5z0"/>
    <w:qFormat/>
    <w:rsid w:val="00ea4301"/>
    <w:rPr>
      <w:rFonts w:ascii="StarSymbol" w:hAnsi="StarSymbol" w:cs="StarSymbol"/>
      <w:sz w:val="18"/>
      <w:szCs w:val="18"/>
    </w:rPr>
  </w:style>
  <w:style w:type="character" w:styleId="WW8Num13z0" w:customStyle="1">
    <w:name w:val="WW8Num13z0"/>
    <w:qFormat/>
    <w:rsid w:val="00ea4301"/>
    <w:rPr>
      <w:rFonts w:ascii="StarSymbol" w:hAnsi="StarSymbol" w:cs="StarSymbol"/>
      <w:sz w:val="18"/>
      <w:szCs w:val="18"/>
    </w:rPr>
  </w:style>
  <w:style w:type="character" w:styleId="WWAbsatzStandardschriftart1111111111111" w:customStyle="1">
    <w:name w:val="WW-Absatz-Standardschriftart1111111111111"/>
    <w:qFormat/>
    <w:rsid w:val="00ea4301"/>
    <w:rPr/>
  </w:style>
  <w:style w:type="character" w:styleId="WW8Num14z0" w:customStyle="1">
    <w:name w:val="WW8Num14z0"/>
    <w:qFormat/>
    <w:rsid w:val="00ea4301"/>
    <w:rPr>
      <w:rFonts w:ascii="StarSymbol" w:hAnsi="StarSymbol" w:cs="StarSymbol"/>
      <w:sz w:val="18"/>
      <w:szCs w:val="18"/>
    </w:rPr>
  </w:style>
  <w:style w:type="character" w:styleId="WWAbsatzStandardschriftart11111111111111" w:customStyle="1">
    <w:name w:val="WW-Absatz-Standardschriftart11111111111111"/>
    <w:qFormat/>
    <w:rsid w:val="00ea4301"/>
    <w:rPr/>
  </w:style>
  <w:style w:type="character" w:styleId="WWAbsatzStandardschriftart111111111111111" w:customStyle="1">
    <w:name w:val="WW-Absatz-Standardschriftart111111111111111"/>
    <w:qFormat/>
    <w:rsid w:val="00ea4301"/>
    <w:rPr/>
  </w:style>
  <w:style w:type="character" w:styleId="WWAbsatzStandardschriftart1111111111111111" w:customStyle="1">
    <w:name w:val="WW-Absatz-Standardschriftart1111111111111111"/>
    <w:qFormat/>
    <w:rsid w:val="00ea4301"/>
    <w:rPr/>
  </w:style>
  <w:style w:type="character" w:styleId="WW8Num15z0" w:customStyle="1">
    <w:name w:val="WW8Num15z0"/>
    <w:qFormat/>
    <w:rsid w:val="00ea4301"/>
    <w:rPr>
      <w:rFonts w:ascii="StarSymbol" w:hAnsi="StarSymbol" w:cs="StarSymbol"/>
      <w:sz w:val="18"/>
      <w:szCs w:val="18"/>
    </w:rPr>
  </w:style>
  <w:style w:type="character" w:styleId="WWAbsatzStandardschriftart11111111111111111" w:customStyle="1">
    <w:name w:val="WW-Absatz-Standardschriftart11111111111111111"/>
    <w:qFormat/>
    <w:rsid w:val="00ea4301"/>
    <w:rPr/>
  </w:style>
  <w:style w:type="character" w:styleId="WWAbsatzStandardschriftart111111111111111111" w:customStyle="1">
    <w:name w:val="WW-Absatz-Standardschriftart111111111111111111"/>
    <w:qFormat/>
    <w:rsid w:val="00ea4301"/>
    <w:rPr/>
  </w:style>
  <w:style w:type="character" w:styleId="WWAbsatzStandardschriftart1111111111111111111" w:customStyle="1">
    <w:name w:val="WW-Absatz-Standardschriftart1111111111111111111"/>
    <w:qFormat/>
    <w:rsid w:val="00ea4301"/>
    <w:rPr/>
  </w:style>
  <w:style w:type="character" w:styleId="WWAbsatzStandardschriftart11111111111111111111" w:customStyle="1">
    <w:name w:val="WW-Absatz-Standardschriftart11111111111111111111"/>
    <w:qFormat/>
    <w:rsid w:val="00ea4301"/>
    <w:rPr/>
  </w:style>
  <w:style w:type="character" w:styleId="WWAbsatzStandardschriftart111111111111111111111" w:customStyle="1">
    <w:name w:val="WW-Absatz-Standardschriftart111111111111111111111"/>
    <w:qFormat/>
    <w:rsid w:val="00ea4301"/>
    <w:rPr/>
  </w:style>
  <w:style w:type="character" w:styleId="WWAbsatzStandardschriftart1111111111111111111111" w:customStyle="1">
    <w:name w:val="WW-Absatz-Standardschriftart1111111111111111111111"/>
    <w:qFormat/>
    <w:rsid w:val="00ea4301"/>
    <w:rPr/>
  </w:style>
  <w:style w:type="character" w:styleId="WWAbsatzStandardschriftart11111111111111111111111" w:customStyle="1">
    <w:name w:val="WW-Absatz-Standardschriftart11111111111111111111111"/>
    <w:qFormat/>
    <w:rsid w:val="00ea4301"/>
    <w:rPr/>
  </w:style>
  <w:style w:type="character" w:styleId="WWAbsatzStandardschriftart111111111111111111111111" w:customStyle="1">
    <w:name w:val="WW-Absatz-Standardschriftart111111111111111111111111"/>
    <w:qFormat/>
    <w:rsid w:val="00ea4301"/>
    <w:rPr/>
  </w:style>
  <w:style w:type="character" w:styleId="WWAbsatzStandardschriftart1111111111111111111111111" w:customStyle="1">
    <w:name w:val="WW-Absatz-Standardschriftart1111111111111111111111111"/>
    <w:qFormat/>
    <w:rsid w:val="00ea4301"/>
    <w:rPr/>
  </w:style>
  <w:style w:type="character" w:styleId="WWAbsatzStandardschriftart11111111111111111111111111" w:customStyle="1">
    <w:name w:val="WW-Absatz-Standardschriftart11111111111111111111111111"/>
    <w:qFormat/>
    <w:rsid w:val="00ea4301"/>
    <w:rPr/>
  </w:style>
  <w:style w:type="character" w:styleId="WWAbsatzStandardschriftart111111111111111111111111111" w:customStyle="1">
    <w:name w:val="WW-Absatz-Standardschriftart111111111111111111111111111"/>
    <w:qFormat/>
    <w:rsid w:val="00ea4301"/>
    <w:rPr/>
  </w:style>
  <w:style w:type="character" w:styleId="WW8Num16z0" w:customStyle="1">
    <w:name w:val="WW8Num16z0"/>
    <w:qFormat/>
    <w:rsid w:val="00ea4301"/>
    <w:rPr>
      <w:rFonts w:ascii="StarSymbol" w:hAnsi="StarSymbol" w:cs="StarSymbol"/>
      <w:sz w:val="18"/>
      <w:szCs w:val="18"/>
    </w:rPr>
  </w:style>
  <w:style w:type="character" w:styleId="WWAbsatzStandardschriftart1111111111111111111111111111" w:customStyle="1">
    <w:name w:val="WW-Absatz-Standardschriftart1111111111111111111111111111"/>
    <w:qFormat/>
    <w:rsid w:val="00ea4301"/>
    <w:rPr/>
  </w:style>
  <w:style w:type="character" w:styleId="WWAbsatzStandardschriftart11111111111111111111111111111" w:customStyle="1">
    <w:name w:val="WW-Absatz-Standardschriftart11111111111111111111111111111"/>
    <w:qFormat/>
    <w:rsid w:val="00ea4301"/>
    <w:rPr/>
  </w:style>
  <w:style w:type="character" w:styleId="WWAbsatzStandardschriftart111111111111111111111111111111" w:customStyle="1">
    <w:name w:val="WW-Absatz-Standardschriftart111111111111111111111111111111"/>
    <w:qFormat/>
    <w:rsid w:val="00ea4301"/>
    <w:rPr/>
  </w:style>
  <w:style w:type="character" w:styleId="WWAbsatzStandardschriftart1111111111111111111111111111111" w:customStyle="1">
    <w:name w:val="WW-Absatz-Standardschriftart1111111111111111111111111111111"/>
    <w:qFormat/>
    <w:rsid w:val="00ea4301"/>
    <w:rPr/>
  </w:style>
  <w:style w:type="character" w:styleId="WWAbsatzStandardschriftart11111111111111111111111111111111" w:customStyle="1">
    <w:name w:val="WW-Absatz-Standardschriftart11111111111111111111111111111111"/>
    <w:qFormat/>
    <w:rsid w:val="00ea4301"/>
    <w:rPr/>
  </w:style>
  <w:style w:type="character" w:styleId="WWAbsatzStandardschriftart111111111111111111111111111111111" w:customStyle="1">
    <w:name w:val="WW-Absatz-Standardschriftart111111111111111111111111111111111"/>
    <w:qFormat/>
    <w:rsid w:val="00ea4301"/>
    <w:rPr/>
  </w:style>
  <w:style w:type="character" w:styleId="WWAbsatzStandardschriftart1111111111111111111111111111111111" w:customStyle="1">
    <w:name w:val="WW-Absatz-Standardschriftart1111111111111111111111111111111111"/>
    <w:qFormat/>
    <w:rsid w:val="00ea4301"/>
    <w:rPr/>
  </w:style>
  <w:style w:type="character" w:styleId="WWAbsatzStandardschriftart11111111111111111111111111111111111" w:customStyle="1">
    <w:name w:val="WW-Absatz-Standardschriftart11111111111111111111111111111111111"/>
    <w:qFormat/>
    <w:rsid w:val="00ea4301"/>
    <w:rPr/>
  </w:style>
  <w:style w:type="character" w:styleId="WWAbsatzStandardschriftart111111111111111111111111111111111111" w:customStyle="1">
    <w:name w:val="WW-Absatz-Standardschriftart111111111111111111111111111111111111"/>
    <w:qFormat/>
    <w:rsid w:val="00ea4301"/>
    <w:rPr/>
  </w:style>
  <w:style w:type="character" w:styleId="WWAbsatzStandardschriftart1111111111111111111111111111111111111" w:customStyle="1">
    <w:name w:val="WW-Absatz-Standardschriftart1111111111111111111111111111111111111"/>
    <w:qFormat/>
    <w:rsid w:val="00ea4301"/>
    <w:rPr/>
  </w:style>
  <w:style w:type="character" w:styleId="WWAbsatzStandardschriftart11111111111111111111111111111111111111" w:customStyle="1">
    <w:name w:val="WW-Absatz-Standardschriftart11111111111111111111111111111111111111"/>
    <w:qFormat/>
    <w:rsid w:val="00ea4301"/>
    <w:rPr/>
  </w:style>
  <w:style w:type="character" w:styleId="WWAbsatzStandardschriftart111111111111111111111111111111111111111" w:customStyle="1">
    <w:name w:val="WW-Absatz-Standardschriftart111111111111111111111111111111111111111"/>
    <w:qFormat/>
    <w:rsid w:val="00ea4301"/>
    <w:rPr/>
  </w:style>
  <w:style w:type="character" w:styleId="WWAbsatzStandardschriftart1111111111111111111111111111111111111111" w:customStyle="1">
    <w:name w:val="WW-Absatz-Standardschriftart1111111111111111111111111111111111111111"/>
    <w:qFormat/>
    <w:rsid w:val="00ea4301"/>
    <w:rPr/>
  </w:style>
  <w:style w:type="character" w:styleId="WWAbsatzStandardschriftart11111111111111111111111111111111111111111" w:customStyle="1">
    <w:name w:val="WW-Absatz-Standardschriftart11111111111111111111111111111111111111111"/>
    <w:qFormat/>
    <w:rsid w:val="00ea4301"/>
    <w:rPr/>
  </w:style>
  <w:style w:type="character" w:styleId="WWAbsatzStandardschriftart111111111111111111111111111111111111111111" w:customStyle="1">
    <w:name w:val="WW-Absatz-Standardschriftart111111111111111111111111111111111111111111"/>
    <w:qFormat/>
    <w:rsid w:val="00ea4301"/>
    <w:rPr/>
  </w:style>
  <w:style w:type="character" w:styleId="WWAbsatzStandardschriftart1111111111111111111111111111111111111111111" w:customStyle="1">
    <w:name w:val="WW-Absatz-Standardschriftart1111111111111111111111111111111111111111111"/>
    <w:qFormat/>
    <w:rsid w:val="00ea4301"/>
    <w:rPr/>
  </w:style>
  <w:style w:type="character" w:styleId="WWAbsatzStandardschriftart11111111111111111111111111111111111111111111" w:customStyle="1">
    <w:name w:val="WW-Absatz-Standardschriftart11111111111111111111111111111111111111111111"/>
    <w:qFormat/>
    <w:rsid w:val="00ea4301"/>
    <w:rPr/>
  </w:style>
  <w:style w:type="character" w:styleId="WWAbsatzStandardschriftart111111111111111111111111111111111111111111111" w:customStyle="1">
    <w:name w:val="WW-Absatz-Standardschriftart111111111111111111111111111111111111111111111"/>
    <w:qFormat/>
    <w:rsid w:val="00ea4301"/>
    <w:rPr/>
  </w:style>
  <w:style w:type="character" w:styleId="WWAbsatzStandardschriftart1111111111111111111111111111111111111111111111" w:customStyle="1">
    <w:name w:val="WW-Absatz-Standardschriftart1111111111111111111111111111111111111111111111"/>
    <w:qFormat/>
    <w:rsid w:val="00ea4301"/>
    <w:rPr/>
  </w:style>
  <w:style w:type="character" w:styleId="WWAbsatzStandardschriftart11111111111111111111111111111111111111111111111" w:customStyle="1">
    <w:name w:val="WW-Absatz-Standardschriftart11111111111111111111111111111111111111111111111"/>
    <w:qFormat/>
    <w:rsid w:val="00ea4301"/>
    <w:rPr/>
  </w:style>
  <w:style w:type="character" w:styleId="WWAbsatzStandardschriftart111111111111111111111111111111111111111111111111" w:customStyle="1">
    <w:name w:val="WW-Absatz-Standardschriftart111111111111111111111111111111111111111111111111"/>
    <w:qFormat/>
    <w:rsid w:val="00ea4301"/>
    <w:rPr/>
  </w:style>
  <w:style w:type="character" w:styleId="WWAbsatzStandardschriftart1111111111111111111111111111111111111111111111111" w:customStyle="1">
    <w:name w:val="WW-Absatz-Standardschriftart1111111111111111111111111111111111111111111111111"/>
    <w:qFormat/>
    <w:rsid w:val="00ea4301"/>
    <w:rPr/>
  </w:style>
  <w:style w:type="character" w:styleId="WWAbsatzStandardschriftart11111111111111111111111111111111111111111111111111" w:customStyle="1">
    <w:name w:val="WW-Absatz-Standardschriftart11111111111111111111111111111111111111111111111111"/>
    <w:qFormat/>
    <w:rsid w:val="00ea4301"/>
    <w:rPr/>
  </w:style>
  <w:style w:type="character" w:styleId="WWAbsatzStandardschriftart111111111111111111111111111111111111111111111111111" w:customStyle="1">
    <w:name w:val="WW-Absatz-Standardschriftart111111111111111111111111111111111111111111111111111"/>
    <w:qFormat/>
    <w:rsid w:val="00ea4301"/>
    <w:rPr/>
  </w:style>
  <w:style w:type="character" w:styleId="WW8Num6z0" w:customStyle="1">
    <w:name w:val="WW8Num6z0"/>
    <w:qFormat/>
    <w:rsid w:val="00ea4301"/>
    <w:rPr>
      <w:rFonts w:ascii="Symbol" w:hAnsi="Symbol" w:cs="StarSymbol"/>
      <w:sz w:val="18"/>
      <w:szCs w:val="18"/>
    </w:rPr>
  </w:style>
  <w:style w:type="character" w:styleId="WWAbsatzStandardschriftart1111111111111111111111111111111111111111111111111111" w:customStyle="1">
    <w:name w:val="WW-Absatz-Standardschriftart1111111111111111111111111111111111111111111111111111"/>
    <w:qFormat/>
    <w:rsid w:val="00ea4301"/>
    <w:rPr/>
  </w:style>
  <w:style w:type="character" w:styleId="WWAbsatzStandardschriftart11111111111111111111111111111111111111111111111111111" w:customStyle="1">
    <w:name w:val="WW-Absatz-Standardschriftart11111111111111111111111111111111111111111111111111111"/>
    <w:qFormat/>
    <w:rsid w:val="00ea4301"/>
    <w:rPr/>
  </w:style>
  <w:style w:type="character" w:styleId="WWAbsatzStandardschriftart111111111111111111111111111111111111111111111111111111" w:customStyle="1">
    <w:name w:val="WW-Absatz-Standardschriftart111111111111111111111111111111111111111111111111111111"/>
    <w:qFormat/>
    <w:rsid w:val="00ea4301"/>
    <w:rPr/>
  </w:style>
  <w:style w:type="character" w:styleId="WWAbsatzStandardschriftart1111111111111111111111111111111111111111111111111111111" w:customStyle="1">
    <w:name w:val="WW-Absatz-Standardschriftart1111111111111111111111111111111111111111111111111111111"/>
    <w:qFormat/>
    <w:rsid w:val="00ea4301"/>
    <w:rPr/>
  </w:style>
  <w:style w:type="character" w:styleId="WWAbsatzStandardschriftart11111111111111111111111111111111111111111111111111111111" w:customStyle="1">
    <w:name w:val="WW-Absatz-Standardschriftart11111111111111111111111111111111111111111111111111111111"/>
    <w:qFormat/>
    <w:rsid w:val="00ea4301"/>
    <w:rPr/>
  </w:style>
  <w:style w:type="character" w:styleId="WWAbsatzStandardschriftart111111111111111111111111111111111111111111111111111111111" w:customStyle="1">
    <w:name w:val="WW-Absatz-Standardschriftart111111111111111111111111111111111111111111111111111111111"/>
    <w:qFormat/>
    <w:rsid w:val="00ea4301"/>
    <w:rPr/>
  </w:style>
  <w:style w:type="character" w:styleId="WWAbsatzStandardschriftart1111111111111111111111111111111111111111111111111111111111" w:customStyle="1">
    <w:name w:val="WW-Absatz-Standardschriftart1111111111111111111111111111111111111111111111111111111111"/>
    <w:qFormat/>
    <w:rsid w:val="00ea4301"/>
    <w:rPr/>
  </w:style>
  <w:style w:type="character" w:styleId="WWAbsatzStandardschriftart11111111111111111111111111111111111111111111111111111111111" w:customStyle="1">
    <w:name w:val="WW-Absatz-Standardschriftart11111111111111111111111111111111111111111111111111111111111"/>
    <w:qFormat/>
    <w:rsid w:val="00ea4301"/>
    <w:rPr/>
  </w:style>
  <w:style w:type="character" w:styleId="WWAbsatzStandardschriftart111111111111111111111111111111111111111111111111111111111111" w:customStyle="1">
    <w:name w:val="WW-Absatz-Standardschriftart111111111111111111111111111111111111111111111111111111111111"/>
    <w:qFormat/>
    <w:rsid w:val="00ea4301"/>
    <w:rPr/>
  </w:style>
  <w:style w:type="character" w:styleId="WWAbsatzStandardschriftart1111111111111111111111111111111111111111111111111111111111111" w:customStyle="1">
    <w:name w:val="WW-Absatz-Standardschriftart1111111111111111111111111111111111111111111111111111111111111"/>
    <w:qFormat/>
    <w:rsid w:val="00ea4301"/>
    <w:rPr/>
  </w:style>
  <w:style w:type="character" w:styleId="WWAbsatzStandardschriftart11111111111111111111111111111111111111111111111111111111111111" w:customStyle="1">
    <w:name w:val="WW-Absatz-Standardschriftart11111111111111111111111111111111111111111111111111111111111111"/>
    <w:qFormat/>
    <w:rsid w:val="00ea4301"/>
    <w:rPr/>
  </w:style>
  <w:style w:type="character" w:styleId="WWAbsatzStandardschriftart111111111111111111111111111111111111111111111111111111111111111" w:customStyle="1">
    <w:name w:val="WW-Absatz-Standardschriftart111111111111111111111111111111111111111111111111111111111111111"/>
    <w:qFormat/>
    <w:rsid w:val="00ea4301"/>
    <w:rPr/>
  </w:style>
  <w:style w:type="character" w:styleId="WWAbsatzStandardschriftart1111111111111111111111111111111111111111111111111111111111111111" w:customStyle="1">
    <w:name w:val="WW-Absatz-Standardschriftart1111111111111111111111111111111111111111111111111111111111111111"/>
    <w:qFormat/>
    <w:rsid w:val="00ea4301"/>
    <w:rPr/>
  </w:style>
  <w:style w:type="character" w:styleId="WWAbsatzStandardschriftart11111111111111111111111111111111111111111111111111111111111111111" w:customStyle="1">
    <w:name w:val="WW-Absatz-Standardschriftart11111111111111111111111111111111111111111111111111111111111111111"/>
    <w:qFormat/>
    <w:rsid w:val="00ea4301"/>
    <w:rPr/>
  </w:style>
  <w:style w:type="character" w:styleId="WWAbsatzStandardschriftart111111111111111111111111111111111111111111111111111111111111111111" w:customStyle="1">
    <w:name w:val="WW-Absatz-Standardschriftart111111111111111111111111111111111111111111111111111111111111111111"/>
    <w:qFormat/>
    <w:rsid w:val="00ea4301"/>
    <w:rPr/>
  </w:style>
  <w:style w:type="character" w:styleId="WWAbsatzStandardschriftart1111111111111111111111111111111111111111111111111111111111111111111" w:customStyle="1">
    <w:name w:val="WW-Absatz-Standardschriftart1111111111111111111111111111111111111111111111111111111111111111111"/>
    <w:qFormat/>
    <w:rsid w:val="00ea4301"/>
    <w:rPr/>
  </w:style>
  <w:style w:type="character" w:styleId="WWAbsatzStandardschriftart11111111111111111111111111111111111111111111111111111111111111111111" w:customStyle="1">
    <w:name w:val="WW-Absatz-Standardschriftart11111111111111111111111111111111111111111111111111111111111111111111"/>
    <w:qFormat/>
    <w:rsid w:val="00ea4301"/>
    <w:rPr/>
  </w:style>
  <w:style w:type="character" w:styleId="WWAbsatzStandardschriftart111111111111111111111111111111111111111111111111111111111111111111111" w:customStyle="1">
    <w:name w:val="WW-Absatz-Standardschriftart111111111111111111111111111111111111111111111111111111111111111111111"/>
    <w:qFormat/>
    <w:rsid w:val="00ea4301"/>
    <w:rPr/>
  </w:style>
  <w:style w:type="character" w:styleId="Style15" w:customStyle="1">
    <w:name w:val="Символ нумерации"/>
    <w:qFormat/>
    <w:rsid w:val="00ea4301"/>
    <w:rPr/>
  </w:style>
  <w:style w:type="character" w:styleId="Style16" w:customStyle="1">
    <w:name w:val="Маркеры списка"/>
    <w:qFormat/>
    <w:rsid w:val="00ea4301"/>
    <w:rPr>
      <w:rFonts w:ascii="StarSymbol" w:hAnsi="StarSymbol" w:eastAsia="StarSymbol" w:cs="StarSymbol"/>
      <w:sz w:val="18"/>
      <w:szCs w:val="18"/>
    </w:rPr>
  </w:style>
  <w:style w:type="character" w:styleId="Style17" w:customStyle="1">
    <w:name w:val="Основной текст Знак"/>
    <w:basedOn w:val="DefaultParagraphFont"/>
    <w:link w:val="afffb"/>
    <w:qFormat/>
    <w:rsid w:val="00ea4301"/>
    <w:rPr>
      <w:rFonts w:ascii="Times New Roman" w:hAnsi="Times New Roman" w:cs="Courier New"/>
      <w:sz w:val="24"/>
      <w:szCs w:val="24"/>
      <w:lang w:eastAsia="ru-RU"/>
    </w:rPr>
  </w:style>
  <w:style w:type="character" w:styleId="FontStyle57" w:customStyle="1">
    <w:name w:val="Font Style57"/>
    <w:qFormat/>
    <w:rsid w:val="00ea4301"/>
    <w:rPr>
      <w:rFonts w:ascii="Times New Roman" w:hAnsi="Times New Roman" w:cs="Times New Roman"/>
      <w:sz w:val="26"/>
      <w:szCs w:val="26"/>
    </w:rPr>
  </w:style>
  <w:style w:type="character" w:styleId="Spelle" w:customStyle="1">
    <w:name w:val="spelle"/>
    <w:basedOn w:val="DefaultParagraphFont"/>
    <w:qFormat/>
    <w:rsid w:val="00ea4301"/>
    <w:rPr/>
  </w:style>
  <w:style w:type="character" w:styleId="Grame" w:customStyle="1">
    <w:name w:val="grame"/>
    <w:basedOn w:val="DefaultParagraphFont"/>
    <w:qFormat/>
    <w:rsid w:val="00ea4301"/>
    <w:rPr/>
  </w:style>
  <w:style w:type="character" w:styleId="Style18" w:customStyle="1">
    <w:name w:val="Гипертекстовая ссылка"/>
    <w:qFormat/>
    <w:rsid w:val="00ea4301"/>
    <w:rPr>
      <w:b/>
      <w:bCs/>
      <w:color w:val="008000"/>
    </w:rPr>
  </w:style>
  <w:style w:type="character" w:styleId="Style19" w:customStyle="1">
    <w:name w:val="Цветовое выделение"/>
    <w:qFormat/>
    <w:rsid w:val="00ea4301"/>
    <w:rPr>
      <w:b/>
      <w:bCs/>
      <w:color w:val="000080"/>
    </w:rPr>
  </w:style>
  <w:style w:type="character" w:styleId="Style20" w:customStyle="1">
    <w:name w:val="Продолжение ссылки"/>
    <w:basedOn w:val="Style18"/>
    <w:qFormat/>
    <w:rsid w:val="00ea4301"/>
    <w:rPr>
      <w:b/>
      <w:bCs/>
      <w:color w:val="008000"/>
    </w:rPr>
  </w:style>
  <w:style w:type="character" w:styleId="Style21" w:customStyle="1">
    <w:name w:val="Текст сноски Знак"/>
    <w:basedOn w:val="DefaultParagraphFont"/>
    <w:link w:val="affff6"/>
    <w:uiPriority w:val="99"/>
    <w:qFormat/>
    <w:rsid w:val="00ea4301"/>
    <w:rPr>
      <w:rFonts w:ascii="Arial" w:hAnsi="Arial" w:eastAsia="Times New Roman" w:cs="Times New Roman"/>
      <w:sz w:val="20"/>
      <w:szCs w:val="20"/>
      <w:lang w:eastAsia="ru-RU"/>
    </w:rPr>
  </w:style>
  <w:style w:type="character" w:styleId="Style22" w:customStyle="1">
    <w:name w:val="Текст примечания Знак"/>
    <w:basedOn w:val="DefaultParagraphFont"/>
    <w:link w:val="affff8"/>
    <w:uiPriority w:val="99"/>
    <w:semiHidden/>
    <w:qFormat/>
    <w:rsid w:val="00ea4301"/>
    <w:rPr>
      <w:rFonts w:ascii="Times New Roman" w:hAnsi="Times New Roman" w:eastAsia="Times New Roman" w:cs="Times New Roman"/>
      <w:sz w:val="20"/>
      <w:szCs w:val="20"/>
      <w:lang w:eastAsia="ru-RU"/>
    </w:rPr>
  </w:style>
  <w:style w:type="character" w:styleId="Style23" w:customStyle="1">
    <w:name w:val="Верхний колонтитул Знак"/>
    <w:basedOn w:val="DefaultParagraphFont"/>
    <w:link w:val="affffa"/>
    <w:uiPriority w:val="99"/>
    <w:qFormat/>
    <w:rsid w:val="00ea4301"/>
    <w:rPr>
      <w:rFonts w:ascii="Calibri" w:hAnsi="Calibri" w:eastAsia="Calibri" w:cs="Times New Roman"/>
    </w:rPr>
  </w:style>
  <w:style w:type="character" w:styleId="Style24" w:customStyle="1">
    <w:name w:val="Нижний колонтитул Знак"/>
    <w:basedOn w:val="DefaultParagraphFont"/>
    <w:link w:val="affffc"/>
    <w:uiPriority w:val="99"/>
    <w:qFormat/>
    <w:rsid w:val="00ea4301"/>
    <w:rPr>
      <w:rFonts w:ascii="Calibri" w:hAnsi="Calibri" w:eastAsia="Calibri" w:cs="Times New Roman"/>
    </w:rPr>
  </w:style>
  <w:style w:type="character" w:styleId="Footnotereference">
    <w:name w:val="footnote reference"/>
    <w:uiPriority w:val="99"/>
    <w:qFormat/>
    <w:rsid w:val="00ea4301"/>
    <w:rPr>
      <w:vertAlign w:val="superscript"/>
    </w:rPr>
  </w:style>
  <w:style w:type="character" w:styleId="Annotationreference">
    <w:name w:val="annotation reference"/>
    <w:uiPriority w:val="99"/>
    <w:semiHidden/>
    <w:qFormat/>
    <w:rsid w:val="00ea4301"/>
    <w:rPr>
      <w:sz w:val="16"/>
      <w:szCs w:val="16"/>
    </w:rPr>
  </w:style>
  <w:style w:type="character" w:styleId="Linenumber">
    <w:name w:val="line number"/>
    <w:qFormat/>
    <w:rsid w:val="00ea4301"/>
    <w:rPr>
      <w:sz w:val="18"/>
      <w:szCs w:val="18"/>
    </w:rPr>
  </w:style>
  <w:style w:type="character" w:styleId="Pagenumber">
    <w:name w:val="page number"/>
    <w:basedOn w:val="DefaultParagraphFont"/>
    <w:qFormat/>
    <w:rsid w:val="00ea4301"/>
    <w:rPr/>
  </w:style>
  <w:style w:type="character" w:styleId="Endnotereference">
    <w:name w:val="endnote reference"/>
    <w:qFormat/>
    <w:rsid w:val="00ea4301"/>
    <w:rPr>
      <w:vertAlign w:val="superscript"/>
    </w:rPr>
  </w:style>
  <w:style w:type="character" w:styleId="Style25" w:customStyle="1">
    <w:name w:val="Текст концевой сноски Знак"/>
    <w:basedOn w:val="DefaultParagraphFont"/>
    <w:link w:val="afffff6"/>
    <w:uiPriority w:val="99"/>
    <w:qFormat/>
    <w:rsid w:val="00ea4301"/>
    <w:rPr>
      <w:rFonts w:ascii="Times New Roman" w:hAnsi="Times New Roman" w:eastAsia="Times New Roman" w:cs="Times New Roman"/>
      <w:sz w:val="20"/>
      <w:szCs w:val="20"/>
      <w:lang w:eastAsia="ru-RU"/>
    </w:rPr>
  </w:style>
  <w:style w:type="character" w:styleId="Style26" w:customStyle="1">
    <w:name w:val="Текст макроса Знак"/>
    <w:basedOn w:val="DefaultParagraphFont"/>
    <w:link w:val="afffff9"/>
    <w:qFormat/>
    <w:rsid w:val="00ea4301"/>
    <w:rPr>
      <w:rFonts w:ascii="Courier New" w:hAnsi="Courier New" w:eastAsia="Times New Roman" w:cs="Courier New"/>
      <w:sz w:val="20"/>
      <w:szCs w:val="20"/>
      <w:lang w:eastAsia="ru-RU"/>
    </w:rPr>
  </w:style>
  <w:style w:type="character" w:styleId="Style27" w:customStyle="1">
    <w:name w:val="Список Знак"/>
    <w:link w:val="a7"/>
    <w:qFormat/>
    <w:rsid w:val="00ea4301"/>
    <w:rPr>
      <w:rFonts w:ascii="Times New Roman" w:hAnsi="Times New Roman" w:cs="Courier New"/>
      <w:sz w:val="24"/>
      <w:szCs w:val="24"/>
      <w:lang w:eastAsia="ru-RU"/>
    </w:rPr>
  </w:style>
  <w:style w:type="character" w:styleId="Style28" w:customStyle="1">
    <w:name w:val="Название Знак"/>
    <w:basedOn w:val="DefaultParagraphFont"/>
    <w:link w:val="afffffd"/>
    <w:qFormat/>
    <w:rsid w:val="00ea4301"/>
    <w:rPr>
      <w:rFonts w:ascii="Cambria" w:hAnsi="Cambria" w:eastAsia="Times New Roman" w:cs="Times New Roman"/>
      <w:i/>
      <w:iCs/>
      <w:color w:val="243F60"/>
      <w:sz w:val="60"/>
      <w:szCs w:val="60"/>
      <w:lang w:eastAsia="ru-RU"/>
    </w:rPr>
  </w:style>
  <w:style w:type="character" w:styleId="Style29" w:customStyle="1">
    <w:name w:val="Прощание Знак"/>
    <w:basedOn w:val="DefaultParagraphFont"/>
    <w:link w:val="affffff"/>
    <w:qFormat/>
    <w:rsid w:val="00ea4301"/>
    <w:rPr>
      <w:rFonts w:ascii="Arial" w:hAnsi="Arial" w:eastAsia="Times New Roman" w:cs="Times New Roman"/>
      <w:spacing w:val="-5"/>
      <w:sz w:val="20"/>
      <w:szCs w:val="20"/>
    </w:rPr>
  </w:style>
  <w:style w:type="character" w:styleId="Style30" w:customStyle="1">
    <w:name w:val="Подпись Знак"/>
    <w:basedOn w:val="DefaultParagraphFont"/>
    <w:link w:val="affffff1"/>
    <w:qFormat/>
    <w:rsid w:val="00ea4301"/>
    <w:rPr>
      <w:rFonts w:ascii="Arial" w:hAnsi="Arial" w:eastAsia="Times New Roman" w:cs="Times New Roman"/>
      <w:spacing w:val="-5"/>
      <w:sz w:val="20"/>
      <w:szCs w:val="20"/>
    </w:rPr>
  </w:style>
  <w:style w:type="character" w:styleId="Style31" w:customStyle="1">
    <w:name w:val="Шапка Знак"/>
    <w:basedOn w:val="DefaultParagraphFont"/>
    <w:link w:val="affffff4"/>
    <w:qFormat/>
    <w:rsid w:val="00ea4301"/>
    <w:rPr>
      <w:rFonts w:ascii="Arial" w:hAnsi="Arial" w:eastAsia="Times New Roman" w:cs="Times New Roman"/>
    </w:rPr>
  </w:style>
  <w:style w:type="character" w:styleId="Style32" w:customStyle="1">
    <w:name w:val="Подзаголовок Знак"/>
    <w:basedOn w:val="DefaultParagraphFont"/>
    <w:link w:val="affffff6"/>
    <w:qFormat/>
    <w:rsid w:val="00ea4301"/>
    <w:rPr>
      <w:rFonts w:ascii="Times New Roman" w:hAnsi="Times New Roman" w:eastAsia="Times New Roman" w:cs="Times New Roman"/>
      <w:i/>
      <w:iCs/>
      <w:sz w:val="24"/>
      <w:szCs w:val="24"/>
      <w:lang w:eastAsia="ru-RU"/>
    </w:rPr>
  </w:style>
  <w:style w:type="character" w:styleId="Style33" w:customStyle="1">
    <w:name w:val="Приветствие Знак"/>
    <w:basedOn w:val="DefaultParagraphFont"/>
    <w:link w:val="affffff8"/>
    <w:qFormat/>
    <w:rsid w:val="00ea4301"/>
    <w:rPr>
      <w:rFonts w:ascii="Arial" w:hAnsi="Arial" w:eastAsia="Times New Roman" w:cs="Times New Roman"/>
      <w:spacing w:val="-5"/>
      <w:sz w:val="20"/>
      <w:szCs w:val="20"/>
    </w:rPr>
  </w:style>
  <w:style w:type="character" w:styleId="Style34" w:customStyle="1">
    <w:name w:val="Дата Знак"/>
    <w:basedOn w:val="DefaultParagraphFont"/>
    <w:link w:val="affffffa"/>
    <w:qFormat/>
    <w:rsid w:val="00ea4301"/>
    <w:rPr>
      <w:rFonts w:ascii="Arial" w:hAnsi="Arial" w:eastAsia="Times New Roman" w:cs="Times New Roman"/>
      <w:spacing w:val="-5"/>
      <w:sz w:val="20"/>
      <w:szCs w:val="20"/>
    </w:rPr>
  </w:style>
  <w:style w:type="character" w:styleId="Style35" w:customStyle="1">
    <w:name w:val="Красная строка Знак"/>
    <w:basedOn w:val="Style17"/>
    <w:link w:val="affffffc"/>
    <w:qFormat/>
    <w:rsid w:val="00ea4301"/>
    <w:rPr>
      <w:rFonts w:ascii="Arial" w:hAnsi="Arial" w:eastAsia="Times New Roman" w:cs="Times New Roman"/>
      <w:spacing w:val="-5"/>
      <w:sz w:val="24"/>
      <w:szCs w:val="24"/>
      <w:lang w:eastAsia="ru-RU"/>
    </w:rPr>
  </w:style>
  <w:style w:type="character" w:styleId="24" w:customStyle="1">
    <w:name w:val="Красная строка 2 Знак"/>
    <w:basedOn w:val="Style13"/>
    <w:link w:val="2f1"/>
    <w:qFormat/>
    <w:rsid w:val="00ea4301"/>
    <w:rPr>
      <w:rFonts w:ascii="Arial" w:hAnsi="Arial" w:eastAsia="Times New Roman" w:cs="Times New Roman"/>
      <w:spacing w:val="-5"/>
      <w:sz w:val="24"/>
      <w:szCs w:val="24"/>
      <w:lang w:eastAsia="ru-RU"/>
    </w:rPr>
  </w:style>
  <w:style w:type="character" w:styleId="Style36" w:customStyle="1">
    <w:name w:val="Заголовок записки Знак"/>
    <w:basedOn w:val="DefaultParagraphFont"/>
    <w:link w:val="affffffe"/>
    <w:qFormat/>
    <w:rsid w:val="00ea4301"/>
    <w:rPr>
      <w:rFonts w:ascii="Arial" w:hAnsi="Arial" w:eastAsia="Times New Roman" w:cs="Times New Roman"/>
      <w:spacing w:val="-5"/>
      <w:sz w:val="20"/>
      <w:szCs w:val="20"/>
    </w:rPr>
  </w:style>
  <w:style w:type="character" w:styleId="25" w:customStyle="1">
    <w:name w:val="Основной текст 2 Знак"/>
    <w:basedOn w:val="DefaultParagraphFont"/>
    <w:link w:val="2f3"/>
    <w:qFormat/>
    <w:rsid w:val="00ea4301"/>
    <w:rPr>
      <w:rFonts w:ascii="Times New Roman" w:hAnsi="Times New Roman" w:eastAsia="Times New Roman" w:cs="Times New Roman"/>
      <w:b/>
      <w:bCs/>
      <w:caps/>
      <w:sz w:val="24"/>
      <w:szCs w:val="24"/>
      <w:lang w:eastAsia="ru-RU"/>
    </w:rPr>
  </w:style>
  <w:style w:type="character" w:styleId="33" w:customStyle="1">
    <w:name w:val="Основной текст 3 Знак"/>
    <w:basedOn w:val="DefaultParagraphFont"/>
    <w:link w:val="3e"/>
    <w:qFormat/>
    <w:rsid w:val="00ea4301"/>
    <w:rPr>
      <w:rFonts w:ascii="Times New Roman" w:hAnsi="Times New Roman" w:eastAsia="Times New Roman" w:cs="Times New Roman"/>
      <w:sz w:val="16"/>
      <w:szCs w:val="16"/>
      <w:lang w:eastAsia="ru-RU"/>
    </w:rPr>
  </w:style>
  <w:style w:type="character" w:styleId="26" w:customStyle="1">
    <w:name w:val="Основной текст с отступом 2 Знак"/>
    <w:basedOn w:val="DefaultParagraphFont"/>
    <w:link w:val="2f5"/>
    <w:qFormat/>
    <w:rsid w:val="00ea4301"/>
    <w:rPr>
      <w:rFonts w:ascii="Times New Roman" w:hAnsi="Times New Roman" w:eastAsia="Times New Roman" w:cs="Times New Roman"/>
      <w:sz w:val="24"/>
      <w:szCs w:val="24"/>
      <w:lang w:eastAsia="ru-RU"/>
    </w:rPr>
  </w:style>
  <w:style w:type="character" w:styleId="34" w:customStyle="1">
    <w:name w:val="Основной текст с отступом 3 Знак"/>
    <w:basedOn w:val="DefaultParagraphFont"/>
    <w:link w:val="3f0"/>
    <w:qFormat/>
    <w:rsid w:val="00ea4301"/>
    <w:rPr>
      <w:rFonts w:ascii="Times New Roman" w:hAnsi="Times New Roman" w:eastAsia="Times New Roman" w:cs="Times New Roman"/>
      <w:sz w:val="28"/>
      <w:szCs w:val="28"/>
      <w:lang w:eastAsia="ru-RU"/>
    </w:rPr>
  </w:style>
  <w:style w:type="character" w:styleId="FollowedHyperlink">
    <w:name w:val="FollowedHyperlink"/>
    <w:uiPriority w:val="99"/>
    <w:unhideWhenUsed/>
    <w:qFormat/>
    <w:rsid w:val="00ea4301"/>
    <w:rPr>
      <w:color w:val="800080"/>
      <w:u w:val="single"/>
    </w:rPr>
  </w:style>
  <w:style w:type="character" w:styleId="Strong">
    <w:name w:val="Strong"/>
    <w:uiPriority w:val="22"/>
    <w:qFormat/>
    <w:rsid w:val="00ea4301"/>
    <w:rPr>
      <w:b/>
      <w:bCs/>
      <w:spacing w:val="0"/>
    </w:rPr>
  </w:style>
  <w:style w:type="character" w:styleId="Style37">
    <w:name w:val="Выделение"/>
    <w:qFormat/>
    <w:rsid w:val="00ea4301"/>
    <w:rPr>
      <w:b/>
      <w:bCs/>
      <w:i/>
      <w:iCs/>
      <w:color w:val="5A5A5A"/>
    </w:rPr>
  </w:style>
  <w:style w:type="character" w:styleId="Style38" w:customStyle="1">
    <w:name w:val="Схема документа Знак"/>
    <w:basedOn w:val="DefaultParagraphFont"/>
    <w:link w:val="afffffff4"/>
    <w:qFormat/>
    <w:rsid w:val="00ea4301"/>
    <w:rPr>
      <w:rFonts w:ascii="Tahoma" w:hAnsi="Tahoma" w:eastAsia="Times New Roman" w:cs="Times New Roman"/>
      <w:sz w:val="24"/>
      <w:szCs w:val="20"/>
      <w:shd w:fill="000080" w:val="clear"/>
      <w:lang w:eastAsia="ru-RU"/>
    </w:rPr>
  </w:style>
  <w:style w:type="character" w:styleId="Style39" w:customStyle="1">
    <w:name w:val="Текст Знак"/>
    <w:basedOn w:val="DefaultParagraphFont"/>
    <w:link w:val="afffffff6"/>
    <w:qFormat/>
    <w:rsid w:val="00ea4301"/>
    <w:rPr>
      <w:rFonts w:ascii="Courier New" w:hAnsi="Courier New" w:eastAsia="Times New Roman" w:cs="Times New Roman"/>
      <w:spacing w:val="-5"/>
      <w:sz w:val="20"/>
      <w:szCs w:val="20"/>
    </w:rPr>
  </w:style>
  <w:style w:type="character" w:styleId="Style40" w:customStyle="1">
    <w:name w:val="Электронная подпись Знак"/>
    <w:basedOn w:val="DefaultParagraphFont"/>
    <w:link w:val="afffffff8"/>
    <w:qFormat/>
    <w:rsid w:val="00ea4301"/>
    <w:rPr>
      <w:rFonts w:ascii="Arial" w:hAnsi="Arial" w:eastAsia="Times New Roman" w:cs="Times New Roman"/>
      <w:spacing w:val="-5"/>
      <w:sz w:val="20"/>
      <w:szCs w:val="20"/>
    </w:rPr>
  </w:style>
  <w:style w:type="character" w:styleId="HTMLAcronym">
    <w:name w:val="HTML Acronym"/>
    <w:qFormat/>
    <w:rsid w:val="00ea4301"/>
    <w:rPr>
      <w:lang w:val="ru-RU"/>
    </w:rPr>
  </w:style>
  <w:style w:type="character" w:styleId="HTML" w:customStyle="1">
    <w:name w:val="Адрес HTML Знак"/>
    <w:basedOn w:val="DefaultParagraphFont"/>
    <w:link w:val="HTML0"/>
    <w:qFormat/>
    <w:rsid w:val="00ea4301"/>
    <w:rPr>
      <w:rFonts w:ascii="Arial" w:hAnsi="Arial" w:eastAsia="Times New Roman" w:cs="Times New Roman"/>
      <w:i/>
      <w:iCs/>
      <w:spacing w:val="-5"/>
      <w:sz w:val="20"/>
      <w:szCs w:val="20"/>
    </w:rPr>
  </w:style>
  <w:style w:type="character" w:styleId="HTMLCite">
    <w:name w:val="HTML Cite"/>
    <w:qFormat/>
    <w:rsid w:val="00ea4301"/>
    <w:rPr>
      <w:i/>
      <w:iCs/>
      <w:lang w:val="ru-RU"/>
    </w:rPr>
  </w:style>
  <w:style w:type="character" w:styleId="HTMLCode">
    <w:name w:val="HTML Code"/>
    <w:qFormat/>
    <w:rsid w:val="00ea4301"/>
    <w:rPr>
      <w:rFonts w:ascii="Courier New" w:hAnsi="Courier New" w:cs="Courier New"/>
      <w:sz w:val="20"/>
      <w:szCs w:val="20"/>
      <w:lang w:val="ru-RU"/>
    </w:rPr>
  </w:style>
  <w:style w:type="character" w:styleId="HTMLDefinition">
    <w:name w:val="HTML Definition"/>
    <w:qFormat/>
    <w:rsid w:val="00ea4301"/>
    <w:rPr>
      <w:i/>
      <w:iCs/>
      <w:lang w:val="ru-RU"/>
    </w:rPr>
  </w:style>
  <w:style w:type="character" w:styleId="HTMLKeyboard">
    <w:name w:val="HTML Keyboard"/>
    <w:qFormat/>
    <w:rsid w:val="00ea4301"/>
    <w:rPr>
      <w:rFonts w:ascii="Courier New" w:hAnsi="Courier New" w:cs="Courier New"/>
      <w:sz w:val="20"/>
      <w:szCs w:val="20"/>
      <w:lang w:val="ru-RU"/>
    </w:rPr>
  </w:style>
  <w:style w:type="character" w:styleId="HTML1" w:customStyle="1">
    <w:name w:val="Стандартный HTML Знак"/>
    <w:basedOn w:val="DefaultParagraphFont"/>
    <w:link w:val="HTML6"/>
    <w:qFormat/>
    <w:rsid w:val="00ea4301"/>
    <w:rPr>
      <w:rFonts w:ascii="Courier New" w:hAnsi="Courier New" w:eastAsia="Times New Roman" w:cs="Times New Roman"/>
      <w:spacing w:val="-5"/>
      <w:sz w:val="20"/>
      <w:szCs w:val="20"/>
    </w:rPr>
  </w:style>
  <w:style w:type="character" w:styleId="HTMLSample">
    <w:name w:val="HTML Sample"/>
    <w:qFormat/>
    <w:rsid w:val="00ea4301"/>
    <w:rPr>
      <w:rFonts w:ascii="Courier New" w:hAnsi="Courier New" w:cs="Courier New"/>
      <w:lang w:val="ru-RU"/>
    </w:rPr>
  </w:style>
  <w:style w:type="character" w:styleId="HTMLTypewriter">
    <w:name w:val="HTML Typewriter"/>
    <w:qFormat/>
    <w:rsid w:val="00ea4301"/>
    <w:rPr>
      <w:rFonts w:ascii="Courier New" w:hAnsi="Courier New" w:cs="Courier New"/>
      <w:sz w:val="20"/>
      <w:szCs w:val="20"/>
      <w:lang w:val="ru-RU"/>
    </w:rPr>
  </w:style>
  <w:style w:type="character" w:styleId="HTMLVariable">
    <w:name w:val="HTML Variable"/>
    <w:qFormat/>
    <w:rsid w:val="00ea4301"/>
    <w:rPr>
      <w:i/>
      <w:iCs/>
      <w:lang w:val="ru-RU"/>
    </w:rPr>
  </w:style>
  <w:style w:type="character" w:styleId="Style41" w:customStyle="1">
    <w:name w:val="Тема примечания Знак"/>
    <w:basedOn w:val="Style22"/>
    <w:link w:val="afffffffa"/>
    <w:uiPriority w:val="99"/>
    <w:semiHidden/>
    <w:qFormat/>
    <w:rsid w:val="00ea4301"/>
    <w:rPr>
      <w:rFonts w:ascii="Times New Roman" w:hAnsi="Times New Roman" w:eastAsia="Times New Roman" w:cs="Times New Roman"/>
      <w:b/>
      <w:bCs/>
      <w:sz w:val="20"/>
      <w:szCs w:val="20"/>
      <w:lang w:eastAsia="ru-RU"/>
    </w:rPr>
  </w:style>
  <w:style w:type="character" w:styleId="Style42" w:customStyle="1">
    <w:name w:val="Текст выноски Знак"/>
    <w:basedOn w:val="DefaultParagraphFont"/>
    <w:link w:val="affffffff"/>
    <w:uiPriority w:val="99"/>
    <w:qFormat/>
    <w:rsid w:val="00ea4301"/>
    <w:rPr>
      <w:rFonts w:ascii="Tahoma" w:hAnsi="Tahoma" w:eastAsia="Times New Roman" w:cs="Times New Roman"/>
      <w:sz w:val="16"/>
      <w:szCs w:val="16"/>
      <w:lang w:eastAsia="ru-RU"/>
    </w:rPr>
  </w:style>
  <w:style w:type="character" w:styleId="PlaceholderText">
    <w:name w:val="Placeholder Text"/>
    <w:uiPriority w:val="99"/>
    <w:semiHidden/>
    <w:qFormat/>
    <w:rsid w:val="00ea4301"/>
    <w:rPr>
      <w:color w:val="808080"/>
    </w:rPr>
  </w:style>
  <w:style w:type="character" w:styleId="Style43" w:customStyle="1">
    <w:name w:val="Абзац списка Знак"/>
    <w:link w:val="ad"/>
    <w:uiPriority w:val="34"/>
    <w:qFormat/>
    <w:locked/>
    <w:rsid w:val="00ea4301"/>
    <w:rPr/>
  </w:style>
  <w:style w:type="character" w:styleId="27" w:customStyle="1">
    <w:name w:val="Цитата 2 Знак"/>
    <w:basedOn w:val="DefaultParagraphFont"/>
    <w:link w:val="2fe"/>
    <w:uiPriority w:val="29"/>
    <w:qFormat/>
    <w:rsid w:val="00ea4301"/>
    <w:rPr>
      <w:rFonts w:ascii="Cambria" w:hAnsi="Cambria" w:eastAsia="Times New Roman" w:cs="Times New Roman"/>
      <w:i/>
      <w:iCs/>
      <w:color w:val="5A5A5A"/>
      <w:sz w:val="24"/>
      <w:szCs w:val="24"/>
      <w:lang w:eastAsia="ru-RU"/>
    </w:rPr>
  </w:style>
  <w:style w:type="character" w:styleId="Style44" w:customStyle="1">
    <w:name w:val="Выделенная цитата Знак"/>
    <w:basedOn w:val="DefaultParagraphFont"/>
    <w:link w:val="affffffff4"/>
    <w:uiPriority w:val="30"/>
    <w:qFormat/>
    <w:rsid w:val="00ea4301"/>
    <w:rPr>
      <w:rFonts w:ascii="Cambria" w:hAnsi="Cambria" w:eastAsia="Times New Roman" w:cs="Times New Roman"/>
      <w:i/>
      <w:iCs/>
      <w:color w:val="F4F4F4"/>
      <w:sz w:val="24"/>
      <w:szCs w:val="24"/>
      <w:shd w:fill="4F81BD" w:val="clear"/>
      <w:lang w:eastAsia="ru-RU"/>
    </w:rPr>
  </w:style>
  <w:style w:type="character" w:styleId="SubtleEmphasis">
    <w:name w:val="Subtle Emphasis"/>
    <w:uiPriority w:val="19"/>
    <w:qFormat/>
    <w:rsid w:val="00ea4301"/>
    <w:rPr>
      <w:i/>
      <w:iCs/>
      <w:color w:val="5A5A5A"/>
    </w:rPr>
  </w:style>
  <w:style w:type="character" w:styleId="IntenseEmphasis">
    <w:name w:val="Intense Emphasis"/>
    <w:uiPriority w:val="21"/>
    <w:qFormat/>
    <w:rsid w:val="00ea4301"/>
    <w:rPr>
      <w:b/>
      <w:bCs/>
      <w:i/>
      <w:iCs/>
      <w:color w:val="4F81BD"/>
      <w:sz w:val="22"/>
      <w:szCs w:val="22"/>
    </w:rPr>
  </w:style>
  <w:style w:type="character" w:styleId="SubtleReference">
    <w:name w:val="Subtle Reference"/>
    <w:uiPriority w:val="31"/>
    <w:qFormat/>
    <w:rsid w:val="00ea4301"/>
    <w:rPr>
      <w:color w:val="00000A"/>
      <w:u w:val="single" w:color="9BBB59"/>
    </w:rPr>
  </w:style>
  <w:style w:type="character" w:styleId="IntenseReference">
    <w:name w:val="Intense Reference"/>
    <w:uiPriority w:val="32"/>
    <w:qFormat/>
    <w:rsid w:val="00ea4301"/>
    <w:rPr>
      <w:b/>
      <w:bCs/>
      <w:color w:val="76923C"/>
      <w:u w:val="single" w:color="9BBB59"/>
    </w:rPr>
  </w:style>
  <w:style w:type="character" w:styleId="BookTitle">
    <w:name w:val="Book Title"/>
    <w:uiPriority w:val="33"/>
    <w:qFormat/>
    <w:rsid w:val="00ea4301"/>
    <w:rPr>
      <w:rFonts w:ascii="Cambria" w:hAnsi="Cambria" w:eastAsia="Times New Roman" w:cs="Times New Roman"/>
      <w:b/>
      <w:bCs/>
      <w:i/>
      <w:iCs/>
      <w:color w:val="00000A"/>
    </w:rPr>
  </w:style>
  <w:style w:type="character" w:styleId="Normal1" w:customStyle="1">
    <w:name w:val="Normal Знак"/>
    <w:link w:val="1f"/>
    <w:qFormat/>
    <w:rsid w:val="00ea4301"/>
    <w:rPr>
      <w:rFonts w:ascii="Times New Roman" w:hAnsi="Times New Roman" w:eastAsia="Times New Roman" w:cs="Times New Roman"/>
      <w:sz w:val="20"/>
      <w:szCs w:val="20"/>
      <w:lang w:eastAsia="ar-SA"/>
    </w:rPr>
  </w:style>
  <w:style w:type="character" w:styleId="111" w:customStyle="1">
    <w:name w:val="Основной текст (11)_"/>
    <w:basedOn w:val="DefaultParagraphFont"/>
    <w:link w:val="113"/>
    <w:qFormat/>
    <w:rsid w:val="00ea4301"/>
    <w:rPr>
      <w:rFonts w:ascii="Times New Roman" w:hAnsi="Times New Roman" w:eastAsia="Times New Roman" w:cs="Times New Roman"/>
      <w:sz w:val="40"/>
      <w:szCs w:val="40"/>
      <w:shd w:fill="FFFFFF" w:val="clear"/>
    </w:rPr>
  </w:style>
  <w:style w:type="character" w:styleId="112" w:customStyle="1">
    <w:name w:val="Основной текст (11) + Малые прописные"/>
    <w:basedOn w:val="111"/>
    <w:qFormat/>
    <w:rsid w:val="00ea4301"/>
    <w:rPr>
      <w:rFonts w:ascii="Times New Roman" w:hAnsi="Times New Roman" w:eastAsia="Times New Roman" w:cs="Times New Roman"/>
      <w:smallCaps/>
      <w:color w:val="000000"/>
      <w:spacing w:val="0"/>
      <w:w w:val="100"/>
      <w:sz w:val="40"/>
      <w:szCs w:val="40"/>
      <w:shd w:fill="FFFFFF" w:val="clear"/>
      <w:lang w:val="ru-RU" w:eastAsia="ru-RU" w:bidi="ru-RU"/>
    </w:rPr>
  </w:style>
  <w:style w:type="character" w:styleId="28" w:customStyle="1">
    <w:name w:val="Колонтитул (2)_"/>
    <w:basedOn w:val="DefaultParagraphFont"/>
    <w:link w:val="2ff1"/>
    <w:qFormat/>
    <w:rsid w:val="00ea4301"/>
    <w:rPr>
      <w:rFonts w:ascii="Times New Roman" w:hAnsi="Times New Roman" w:eastAsia="Times New Roman" w:cs="Times New Roman"/>
      <w:shd w:fill="FFFFFF" w:val="clear"/>
    </w:rPr>
  </w:style>
  <w:style w:type="character" w:styleId="295pt" w:customStyle="1">
    <w:name w:val="Колонтитул (2) + 9.5 pt;Не полужирный"/>
    <w:basedOn w:val="28"/>
    <w:qFormat/>
    <w:rsid w:val="00ea4301"/>
    <w:rPr>
      <w:rFonts w:ascii="Times New Roman" w:hAnsi="Times New Roman" w:eastAsia="Times New Roman" w:cs="Times New Roman"/>
      <w:color w:val="000000"/>
      <w:spacing w:val="0"/>
      <w:w w:val="100"/>
      <w:sz w:val="19"/>
      <w:szCs w:val="19"/>
      <w:shd w:fill="FFFFFF" w:val="clear"/>
      <w:lang w:val="ru-RU" w:eastAsia="ru-RU" w:bidi="ru-RU"/>
    </w:rPr>
  </w:style>
  <w:style w:type="character" w:styleId="29" w:customStyle="1">
    <w:name w:val="Основной текст (2)_"/>
    <w:basedOn w:val="DefaultParagraphFont"/>
    <w:qFormat/>
    <w:rsid w:val="00ea4301"/>
    <w:rPr>
      <w:rFonts w:ascii="Times New Roman" w:hAnsi="Times New Roman" w:eastAsia="Times New Roman" w:cs="Times New Roman"/>
      <w:b w:val="false"/>
      <w:bCs w:val="false"/>
      <w:i w:val="false"/>
      <w:iCs w:val="false"/>
      <w:caps w:val="false"/>
      <w:smallCaps w:val="false"/>
      <w:strike w:val="false"/>
      <w:dstrike w:val="false"/>
      <w:u w:val="none"/>
    </w:rPr>
  </w:style>
  <w:style w:type="character" w:styleId="213pt" w:customStyle="1">
    <w:name w:val="Основной текст (2) + 13 pt"/>
    <w:basedOn w:val="29"/>
    <w:qFormat/>
    <w:rsid w:val="00ea4301"/>
    <w:rPr>
      <w:rFonts w:ascii="Times New Roman" w:hAnsi="Times New Roman" w:eastAsia="Times New Roman" w:cs="Times New Roman"/>
      <w:b w:val="false"/>
      <w:bCs w:val="false"/>
      <w:i w:val="false"/>
      <w:iCs w:val="false"/>
      <w:caps w:val="false"/>
      <w:smallCaps w:val="false"/>
      <w:strike w:val="false"/>
      <w:dstrike w:val="false"/>
      <w:color w:val="000000"/>
      <w:spacing w:val="0"/>
      <w:w w:val="100"/>
      <w:sz w:val="26"/>
      <w:szCs w:val="26"/>
      <w:u w:val="none"/>
      <w:lang w:val="ru-RU" w:eastAsia="ru-RU" w:bidi="ru-RU"/>
    </w:rPr>
  </w:style>
  <w:style w:type="character" w:styleId="35" w:customStyle="1">
    <w:name w:val="Заголовок №3_"/>
    <w:basedOn w:val="DefaultParagraphFont"/>
    <w:link w:val="3f9"/>
    <w:qFormat/>
    <w:rsid w:val="00ea4301"/>
    <w:rPr>
      <w:rFonts w:ascii="Times New Roman" w:hAnsi="Times New Roman" w:eastAsia="Times New Roman" w:cs="Times New Roman"/>
      <w:sz w:val="40"/>
      <w:szCs w:val="40"/>
      <w:shd w:fill="FFFFFF" w:val="clear"/>
    </w:rPr>
  </w:style>
  <w:style w:type="character" w:styleId="210" w:customStyle="1">
    <w:name w:val="Заголовок №2_"/>
    <w:basedOn w:val="DefaultParagraphFont"/>
    <w:link w:val="2ff4"/>
    <w:qFormat/>
    <w:rsid w:val="00ea4301"/>
    <w:rPr>
      <w:rFonts w:ascii="Times New Roman" w:hAnsi="Times New Roman" w:eastAsia="Times New Roman" w:cs="Times New Roman"/>
      <w:spacing w:val="-10"/>
      <w:sz w:val="44"/>
      <w:szCs w:val="44"/>
      <w:shd w:fill="FFFFFF" w:val="clear"/>
    </w:rPr>
  </w:style>
  <w:style w:type="character" w:styleId="211" w:customStyle="1">
    <w:name w:val="Оглавление (2)_"/>
    <w:basedOn w:val="DefaultParagraphFont"/>
    <w:link w:val="2ff6"/>
    <w:qFormat/>
    <w:rsid w:val="00ea4301"/>
    <w:rPr>
      <w:rFonts w:ascii="Times New Roman" w:hAnsi="Times New Roman" w:eastAsia="Times New Roman" w:cs="Times New Roman"/>
      <w:shd w:fill="FFFFFF" w:val="clear"/>
    </w:rPr>
  </w:style>
  <w:style w:type="character" w:styleId="121" w:customStyle="1">
    <w:name w:val="Основной текст (12)_"/>
    <w:basedOn w:val="DefaultParagraphFont"/>
    <w:qFormat/>
    <w:rsid w:val="00ea4301"/>
    <w:rPr>
      <w:rFonts w:ascii="Times New Roman" w:hAnsi="Times New Roman" w:eastAsia="Times New Roman" w:cs="Times New Roman"/>
      <w:b/>
      <w:bCs/>
      <w:i w:val="false"/>
      <w:iCs w:val="false"/>
      <w:caps w:val="false"/>
      <w:smallCaps w:val="false"/>
      <w:strike w:val="false"/>
      <w:dstrike w:val="false"/>
      <w:u w:val="none"/>
    </w:rPr>
  </w:style>
  <w:style w:type="character" w:styleId="Style45" w:customStyle="1">
    <w:name w:val="Оглавление"/>
    <w:basedOn w:val="22"/>
    <w:qFormat/>
    <w:rsid w:val="00ea4301"/>
    <w:rPr>
      <w:i w:val="false"/>
      <w:iCs w:val="false"/>
      <w:strike w:val="false"/>
      <w:dstrike w:val="false"/>
      <w:spacing w:val="0"/>
      <w:w w:val="100"/>
      <w:sz w:val="24"/>
      <w:szCs w:val="24"/>
      <w:u w:val="single"/>
      <w:lang w:val="ru-RU" w:bidi="ru-RU"/>
    </w:rPr>
  </w:style>
  <w:style w:type="character" w:styleId="122" w:customStyle="1">
    <w:name w:val="Основной текст (12)"/>
    <w:basedOn w:val="121"/>
    <w:qFormat/>
    <w:rsid w:val="00ea4301"/>
    <w:rPr>
      <w:rFonts w:ascii="Times New Roman" w:hAnsi="Times New Roman" w:eastAsia="Times New Roman" w:cs="Times New Roman"/>
      <w:b/>
      <w:bCs/>
      <w:i w:val="false"/>
      <w:iCs w:val="false"/>
      <w:caps w:val="false"/>
      <w:smallCaps w:val="false"/>
      <w:strike w:val="false"/>
      <w:dstrike w:val="false"/>
      <w:color w:val="000000"/>
      <w:spacing w:val="0"/>
      <w:w w:val="100"/>
      <w:sz w:val="24"/>
      <w:szCs w:val="24"/>
      <w:u w:val="single"/>
      <w:lang w:val="ru-RU" w:eastAsia="ru-RU" w:bidi="ru-RU"/>
    </w:rPr>
  </w:style>
  <w:style w:type="character" w:styleId="212" w:customStyle="1">
    <w:name w:val="Основной текст (2)"/>
    <w:basedOn w:val="29"/>
    <w:qFormat/>
    <w:rsid w:val="00ea4301"/>
    <w:rPr>
      <w:rFonts w:ascii="Times New Roman" w:hAnsi="Times New Roman" w:eastAsia="Times New Roman" w:cs="Times New Roman"/>
      <w:b w:val="false"/>
      <w:bCs w:val="false"/>
      <w:i w:val="false"/>
      <w:iCs w:val="false"/>
      <w:caps w:val="false"/>
      <w:smallCaps w:val="false"/>
      <w:strike w:val="false"/>
      <w:dstrike w:val="false"/>
      <w:color w:val="000000"/>
      <w:spacing w:val="0"/>
      <w:w w:val="100"/>
      <w:sz w:val="24"/>
      <w:szCs w:val="24"/>
      <w:u w:val="single"/>
      <w:lang w:val="ru-RU" w:eastAsia="ru-RU" w:bidi="ru-RU"/>
    </w:rPr>
  </w:style>
  <w:style w:type="character" w:styleId="52" w:customStyle="1">
    <w:name w:val="Заголовок №5_"/>
    <w:basedOn w:val="DefaultParagraphFont"/>
    <w:link w:val="5d"/>
    <w:qFormat/>
    <w:rsid w:val="00ea4301"/>
    <w:rPr>
      <w:rFonts w:ascii="Times New Roman" w:hAnsi="Times New Roman" w:eastAsia="Times New Roman" w:cs="Times New Roman"/>
      <w:shd w:fill="FFFFFF" w:val="clear"/>
    </w:rPr>
  </w:style>
  <w:style w:type="character" w:styleId="521" w:customStyle="1">
    <w:name w:val="Заголовок №5 (2)_"/>
    <w:basedOn w:val="DefaultParagraphFont"/>
    <w:link w:val="521"/>
    <w:qFormat/>
    <w:rsid w:val="00ea4301"/>
    <w:rPr>
      <w:rFonts w:ascii="Times New Roman" w:hAnsi="Times New Roman" w:eastAsia="Times New Roman" w:cs="Times New Roman"/>
      <w:sz w:val="21"/>
      <w:szCs w:val="21"/>
      <w:shd w:fill="FFFFFF" w:val="clear"/>
    </w:rPr>
  </w:style>
  <w:style w:type="character" w:styleId="2105pt" w:customStyle="1">
    <w:name w:val="Основной текст (2) + 10.5 pt;Полужирный"/>
    <w:basedOn w:val="29"/>
    <w:qFormat/>
    <w:rsid w:val="00ea4301"/>
    <w:rPr>
      <w:rFonts w:ascii="Times New Roman" w:hAnsi="Times New Roman" w:eastAsia="Times New Roman" w:cs="Times New Roman"/>
      <w:b/>
      <w:bCs/>
      <w:i w:val="false"/>
      <w:iCs w:val="false"/>
      <w:caps w:val="false"/>
      <w:smallCaps w:val="false"/>
      <w:strike w:val="false"/>
      <w:dstrike w:val="false"/>
      <w:color w:val="000000"/>
      <w:spacing w:val="0"/>
      <w:w w:val="100"/>
      <w:sz w:val="21"/>
      <w:szCs w:val="21"/>
      <w:u w:val="none"/>
      <w:lang w:val="ru-RU" w:eastAsia="ru-RU" w:bidi="ru-RU"/>
    </w:rPr>
  </w:style>
  <w:style w:type="character" w:styleId="2Exact" w:customStyle="1">
    <w:name w:val="Основной текст (2) Exact"/>
    <w:basedOn w:val="DefaultParagraphFont"/>
    <w:qFormat/>
    <w:rsid w:val="00ea4301"/>
    <w:rPr>
      <w:rFonts w:ascii="Times New Roman" w:hAnsi="Times New Roman" w:eastAsia="Times New Roman" w:cs="Times New Roman"/>
      <w:b w:val="false"/>
      <w:bCs w:val="false"/>
      <w:i w:val="false"/>
      <w:iCs w:val="false"/>
      <w:caps w:val="false"/>
      <w:smallCaps w:val="false"/>
      <w:strike w:val="false"/>
      <w:dstrike w:val="false"/>
      <w:u w:val="none"/>
    </w:rPr>
  </w:style>
  <w:style w:type="character" w:styleId="52Exact" w:customStyle="1">
    <w:name w:val="Заголовок №5 (2) Exact"/>
    <w:basedOn w:val="DefaultParagraphFont"/>
    <w:qFormat/>
    <w:rsid w:val="00ea4301"/>
    <w:rPr>
      <w:rFonts w:ascii="Times New Roman" w:hAnsi="Times New Roman" w:eastAsia="Times New Roman" w:cs="Times New Roman"/>
      <w:b/>
      <w:bCs/>
      <w:i w:val="false"/>
      <w:iCs w:val="false"/>
      <w:caps w:val="false"/>
      <w:smallCaps w:val="false"/>
      <w:strike w:val="false"/>
      <w:dstrike w:val="false"/>
      <w:sz w:val="21"/>
      <w:szCs w:val="21"/>
      <w:u w:val="none"/>
    </w:rPr>
  </w:style>
  <w:style w:type="character" w:styleId="13Exact" w:customStyle="1">
    <w:name w:val="Основной текст (13) Exact"/>
    <w:basedOn w:val="DefaultParagraphFont"/>
    <w:qFormat/>
    <w:rsid w:val="00ea4301"/>
    <w:rPr>
      <w:rFonts w:ascii="Times New Roman" w:hAnsi="Times New Roman" w:eastAsia="Times New Roman" w:cs="Times New Roman"/>
      <w:b/>
      <w:bCs/>
      <w:i w:val="false"/>
      <w:iCs w:val="false"/>
      <w:caps w:val="false"/>
      <w:smallCaps w:val="false"/>
      <w:strike w:val="false"/>
      <w:dstrike w:val="false"/>
      <w:sz w:val="21"/>
      <w:szCs w:val="21"/>
      <w:u w:val="none"/>
    </w:rPr>
  </w:style>
  <w:style w:type="character" w:styleId="Exact" w:customStyle="1">
    <w:name w:val="Подпись к таблице Exact"/>
    <w:basedOn w:val="DefaultParagraphFont"/>
    <w:link w:val="affffffffd"/>
    <w:qFormat/>
    <w:rsid w:val="00ea4301"/>
    <w:rPr>
      <w:rFonts w:ascii="Times New Roman" w:hAnsi="Times New Roman" w:eastAsia="Times New Roman" w:cs="Times New Roman"/>
      <w:shd w:fill="FFFFFF" w:val="clear"/>
    </w:rPr>
  </w:style>
  <w:style w:type="character" w:styleId="5Exact" w:customStyle="1">
    <w:name w:val="Заголовок №5 Exact"/>
    <w:basedOn w:val="DefaultParagraphFont"/>
    <w:qFormat/>
    <w:rsid w:val="00ea4301"/>
    <w:rPr>
      <w:rFonts w:ascii="Times New Roman" w:hAnsi="Times New Roman" w:eastAsia="Times New Roman" w:cs="Times New Roman"/>
      <w:b w:val="false"/>
      <w:bCs w:val="false"/>
      <w:i w:val="false"/>
      <w:iCs w:val="false"/>
      <w:caps w:val="false"/>
      <w:smallCaps w:val="false"/>
      <w:strike w:val="false"/>
      <w:dstrike w:val="false"/>
      <w:u w:val="none"/>
    </w:rPr>
  </w:style>
  <w:style w:type="character" w:styleId="53" w:customStyle="1">
    <w:name w:val="Заголовок №5 + Малые прописные"/>
    <w:basedOn w:val="52"/>
    <w:qFormat/>
    <w:rsid w:val="00ea4301"/>
    <w:rPr>
      <w:rFonts w:ascii="Times New Roman" w:hAnsi="Times New Roman" w:eastAsia="Times New Roman" w:cs="Times New Roman"/>
      <w:smallCaps/>
      <w:color w:val="000000"/>
      <w:spacing w:val="0"/>
      <w:w w:val="100"/>
      <w:sz w:val="24"/>
      <w:szCs w:val="24"/>
      <w:shd w:fill="FFFFFF" w:val="clear"/>
      <w:lang w:val="ru-RU" w:eastAsia="ru-RU" w:bidi="ru-RU"/>
    </w:rPr>
  </w:style>
  <w:style w:type="character" w:styleId="2Exact1" w:customStyle="1">
    <w:name w:val="Подпись к таблице (2) Exact"/>
    <w:basedOn w:val="DefaultParagraphFont"/>
    <w:link w:val="2ff8"/>
    <w:qFormat/>
    <w:rsid w:val="00ea4301"/>
    <w:rPr>
      <w:rFonts w:ascii="Times New Roman" w:hAnsi="Times New Roman" w:eastAsia="Times New Roman" w:cs="Times New Roman"/>
      <w:sz w:val="21"/>
      <w:szCs w:val="21"/>
      <w:shd w:fill="FFFFFF" w:val="clear"/>
    </w:rPr>
  </w:style>
  <w:style w:type="character" w:styleId="522" w:customStyle="1">
    <w:name w:val="Заголовок №5 (2) + Малые прописные"/>
    <w:basedOn w:val="521"/>
    <w:qFormat/>
    <w:rsid w:val="00ea4301"/>
    <w:rPr>
      <w:rFonts w:ascii="Times New Roman" w:hAnsi="Times New Roman" w:eastAsia="Times New Roman" w:cs="Times New Roman"/>
      <w:smallCaps/>
      <w:color w:val="000000"/>
      <w:spacing w:val="0"/>
      <w:w w:val="100"/>
      <w:sz w:val="21"/>
      <w:szCs w:val="21"/>
      <w:shd w:fill="FFFFFF" w:val="clear"/>
      <w:lang w:val="ru-RU" w:eastAsia="ru-RU" w:bidi="ru-RU"/>
    </w:rPr>
  </w:style>
  <w:style w:type="character" w:styleId="13" w:customStyle="1">
    <w:name w:val="Основной текст (13)_"/>
    <w:basedOn w:val="DefaultParagraphFont"/>
    <w:qFormat/>
    <w:rsid w:val="00ea4301"/>
    <w:rPr>
      <w:rFonts w:ascii="Times New Roman" w:hAnsi="Times New Roman" w:eastAsia="Times New Roman" w:cs="Times New Roman"/>
      <w:b/>
      <w:bCs/>
      <w:i w:val="false"/>
      <w:iCs w:val="false"/>
      <w:caps w:val="false"/>
      <w:smallCaps w:val="false"/>
      <w:strike w:val="false"/>
      <w:dstrike w:val="false"/>
      <w:sz w:val="21"/>
      <w:szCs w:val="21"/>
      <w:u w:val="none"/>
    </w:rPr>
  </w:style>
  <w:style w:type="character" w:styleId="210pt" w:customStyle="1">
    <w:name w:val="Колонтитул (2) + 10 pt"/>
    <w:basedOn w:val="28"/>
    <w:qFormat/>
    <w:rsid w:val="00ea4301"/>
    <w:rPr>
      <w:rFonts w:ascii="Times New Roman" w:hAnsi="Times New Roman" w:eastAsia="Times New Roman" w:cs="Times New Roman"/>
      <w:color w:val="000000"/>
      <w:spacing w:val="0"/>
      <w:w w:val="100"/>
      <w:sz w:val="20"/>
      <w:szCs w:val="20"/>
      <w:shd w:fill="FFFFFF" w:val="clear"/>
      <w:lang w:val="ru-RU" w:eastAsia="ru-RU" w:bidi="ru-RU"/>
    </w:rPr>
  </w:style>
  <w:style w:type="character" w:styleId="131" w:customStyle="1">
    <w:name w:val="Основной текст (13)"/>
    <w:basedOn w:val="13"/>
    <w:qFormat/>
    <w:rsid w:val="00ea4301"/>
    <w:rPr>
      <w:rFonts w:ascii="Times New Roman" w:hAnsi="Times New Roman" w:eastAsia="Times New Roman" w:cs="Times New Roman"/>
      <w:b/>
      <w:bCs/>
      <w:i w:val="false"/>
      <w:iCs w:val="false"/>
      <w:caps w:val="false"/>
      <w:smallCaps w:val="false"/>
      <w:strike w:val="false"/>
      <w:dstrike w:val="false"/>
      <w:color w:val="000000"/>
      <w:spacing w:val="0"/>
      <w:w w:val="100"/>
      <w:sz w:val="21"/>
      <w:szCs w:val="21"/>
      <w:u w:val="none"/>
      <w:lang w:val="ru-RU" w:eastAsia="ru-RU" w:bidi="ru-RU"/>
    </w:rPr>
  </w:style>
  <w:style w:type="character" w:styleId="14" w:customStyle="1">
    <w:name w:val="ОСНОВНОЙ !!! Знак1"/>
    <w:link w:val="afffffffff0"/>
    <w:qFormat/>
    <w:rsid w:val="005f447c"/>
    <w:rPr>
      <w:rFonts w:ascii="Arial" w:hAnsi="Arial" w:eastAsia="Times New Roman" w:cs="Times New Roman"/>
      <w:sz w:val="24"/>
      <w:szCs w:val="24"/>
      <w:lang w:eastAsia="ru-RU"/>
    </w:rPr>
  </w:style>
  <w:style w:type="character" w:styleId="ListLabel1">
    <w:name w:val="ListLabel 1"/>
    <w:qFormat/>
    <w:rPr>
      <w:rFonts w:cs="Times New Roman"/>
    </w:rPr>
  </w:style>
  <w:style w:type="character" w:styleId="ListLabel2">
    <w:name w:val="ListLabel 2"/>
    <w:qFormat/>
    <w:rPr>
      <w:rFonts w:cs="Times New Roman"/>
    </w:rPr>
  </w:style>
  <w:style w:type="character" w:styleId="ListLabel3">
    <w:name w:val="ListLabel 3"/>
    <w:qFormat/>
    <w:rPr>
      <w:rFonts w:cs="Times New Roman"/>
    </w:rPr>
  </w:style>
  <w:style w:type="character" w:styleId="ListLabel4">
    <w:name w:val="ListLabel 4"/>
    <w:qFormat/>
    <w:rPr>
      <w:rFonts w:cs="Times New Roman"/>
    </w:rPr>
  </w:style>
  <w:style w:type="character" w:styleId="ListLabel5">
    <w:name w:val="ListLabel 5"/>
    <w:qFormat/>
    <w:rPr>
      <w:rFonts w:cs="Times New Roman"/>
    </w:rPr>
  </w:style>
  <w:style w:type="character" w:styleId="ListLabel6">
    <w:name w:val="ListLabel 6"/>
    <w:qFormat/>
    <w:rPr>
      <w:rFonts w:cs="Times New Roman"/>
    </w:rPr>
  </w:style>
  <w:style w:type="character" w:styleId="ListLabel7">
    <w:name w:val="ListLabel 7"/>
    <w:qFormat/>
    <w:rPr>
      <w:rFonts w:cs="Times New Roman"/>
    </w:rPr>
  </w:style>
  <w:style w:type="character" w:styleId="ListLabel8">
    <w:name w:val="ListLabel 8"/>
    <w:qFormat/>
    <w:rPr>
      <w:rFonts w:cs="Times New Roman"/>
    </w:rPr>
  </w:style>
  <w:style w:type="character" w:styleId="ListLabel9">
    <w:name w:val="ListLabel 9"/>
    <w:qFormat/>
    <w:rPr>
      <w:rFonts w:cs="Times New Roman"/>
    </w:rPr>
  </w:style>
  <w:style w:type="character" w:styleId="ListLabel10">
    <w:name w:val="ListLabel 10"/>
    <w:qFormat/>
    <w:rPr>
      <w:rFonts w:cs="Times New Roman"/>
    </w:rPr>
  </w:style>
  <w:style w:type="character" w:styleId="ListLabel11">
    <w:name w:val="ListLabel 11"/>
    <w:qFormat/>
    <w:rPr>
      <w:rFonts w:cs="Times New Roman"/>
    </w:rPr>
  </w:style>
  <w:style w:type="character" w:styleId="ListLabel12">
    <w:name w:val="ListLabel 12"/>
    <w:qFormat/>
    <w:rPr>
      <w:b w:val="false"/>
      <w:i/>
      <w:iCs w:val="false"/>
      <w:caps w:val="false"/>
      <w:smallCaps w:val="false"/>
      <w:strike w:val="false"/>
      <w:dstrike w:val="false"/>
      <w:vanish w:val="false"/>
      <w:color w:val="000000"/>
      <w:spacing w:val="0"/>
      <w:position w:val="0"/>
      <w:sz w:val="24"/>
      <w:sz w:val="24"/>
      <w:szCs w:val="24"/>
      <w:u w:val="none"/>
      <w:vertAlign w:val="baseline"/>
      <w:em w:val="none"/>
    </w:rPr>
  </w:style>
  <w:style w:type="character" w:styleId="ListLabel13">
    <w:name w:val="ListLabel 13"/>
    <w:qFormat/>
    <w:rPr>
      <w:b/>
      <w:i w:val="false"/>
      <w:sz w:val="24"/>
      <w:szCs w:val="24"/>
    </w:rPr>
  </w:style>
  <w:style w:type="character" w:styleId="ListLabel14">
    <w:name w:val="ListLabel 14"/>
    <w:qFormat/>
    <w:rPr>
      <w:b/>
      <w:i w:val="false"/>
      <w:sz w:val="24"/>
      <w:szCs w:val="24"/>
    </w:rPr>
  </w:style>
  <w:style w:type="character" w:styleId="ListLabel15">
    <w:name w:val="ListLabel 15"/>
    <w:qFormat/>
    <w:rPr>
      <w:rFonts w:cs="Times New Roman"/>
      <w:bCs w:val="false"/>
      <w:i w:val="false"/>
      <w:iCs w:val="false"/>
      <w:caps w:val="false"/>
      <w:smallCaps w:val="false"/>
      <w:strike w:val="false"/>
      <w:dstrike w:val="false"/>
      <w:vanish w:val="false"/>
      <w:color w:val="000000"/>
      <w:spacing w:val="0"/>
      <w:position w:val="0"/>
      <w:sz w:val="22"/>
      <w:sz w:val="22"/>
      <w:u w:val="none"/>
      <w:vertAlign w:val="baseline"/>
      <w:em w:val="none"/>
    </w:rPr>
  </w:style>
  <w:style w:type="character" w:styleId="ListLabel16">
    <w:name w:val="ListLabel 16"/>
    <w:qFormat/>
    <w:rPr>
      <w:rFonts w:cs="Times New Roman"/>
      <w:b w:val="false"/>
      <w:bCs w:val="false"/>
      <w:i w:val="false"/>
      <w:iCs w:val="false"/>
      <w:caps w:val="false"/>
      <w:smallCaps w:val="false"/>
      <w:strike w:val="false"/>
      <w:dstrike w:val="false"/>
      <w:vanish w:val="false"/>
      <w:color w:val="000000"/>
      <w:spacing w:val="0"/>
      <w:position w:val="0"/>
      <w:sz w:val="24"/>
      <w:sz w:val="24"/>
      <w:u w:val="none"/>
      <w:vertAlign w:val="baseline"/>
      <w:em w:val="none"/>
    </w:rPr>
  </w:style>
  <w:style w:type="character" w:styleId="ListLabel17">
    <w:name w:val="ListLabel 17"/>
    <w:qFormat/>
    <w:rPr>
      <w:b/>
      <w:i w:val="false"/>
      <w:spacing w:val="0"/>
      <w:w w:val="100"/>
      <w:sz w:val="28"/>
      <w:szCs w:val="28"/>
    </w:rPr>
  </w:style>
  <w:style w:type="character" w:styleId="ListLabel18">
    <w:name w:val="ListLabel 18"/>
    <w:qFormat/>
    <w:rPr>
      <w:b/>
      <w:i w:val="false"/>
      <w:color w:val="00000A"/>
      <w:sz w:val="26"/>
    </w:rPr>
  </w:style>
  <w:style w:type="character" w:styleId="ListLabel19">
    <w:name w:val="ListLabel 19"/>
    <w:qFormat/>
    <w:rPr>
      <w:b/>
      <w:i w:val="false"/>
      <w:color w:val="00000A"/>
      <w:spacing w:val="0"/>
      <w:w w:val="100"/>
      <w:sz w:val="24"/>
    </w:rPr>
  </w:style>
  <w:style w:type="character" w:styleId="ListLabel20">
    <w:name w:val="ListLabel 20"/>
    <w:qFormat/>
    <w:rPr>
      <w:b/>
    </w:rPr>
  </w:style>
  <w:style w:type="character" w:styleId="ListLabel21">
    <w:name w:val="ListLabel 21"/>
    <w:qFormat/>
    <w:rPr>
      <w:b/>
    </w:rPr>
  </w:style>
  <w:style w:type="character" w:styleId="ListLabel22">
    <w:name w:val="ListLabel 22"/>
    <w:qFormat/>
    <w:rPr>
      <w:b w:val="false"/>
      <w:bCs w:val="false"/>
      <w:i w:val="false"/>
      <w:iCs w:val="false"/>
      <w:caps w:val="false"/>
      <w:smallCaps w:val="false"/>
      <w:strike w:val="false"/>
      <w:dstrike w:val="false"/>
      <w:vanish w:val="false"/>
      <w:color w:val="000000"/>
      <w:spacing w:val="0"/>
      <w:position w:val="0"/>
      <w:sz w:val="22"/>
      <w:sz w:val="22"/>
      <w:u w:val="none"/>
      <w:vertAlign w:val="baseline"/>
      <w:em w:val="none"/>
    </w:rPr>
  </w:style>
  <w:style w:type="character" w:styleId="ListLabel23">
    <w:name w:val="ListLabel 23"/>
    <w:qFormat/>
    <w:rPr>
      <w:rFonts w:cs="Courier New"/>
    </w:rPr>
  </w:style>
  <w:style w:type="character" w:styleId="ListLabel24">
    <w:name w:val="ListLabel 24"/>
    <w:qFormat/>
    <w:rPr>
      <w:rFonts w:cs="Courier New"/>
    </w:rPr>
  </w:style>
  <w:style w:type="character" w:styleId="ListLabel25">
    <w:name w:val="ListLabel 25"/>
    <w:qFormat/>
    <w:rPr>
      <w:rFonts w:cs="Courier New"/>
    </w:rPr>
  </w:style>
  <w:style w:type="character" w:styleId="ListLabel26">
    <w:name w:val="ListLabel 26"/>
    <w:qFormat/>
    <w:rPr>
      <w:b/>
    </w:rPr>
  </w:style>
  <w:style w:type="character" w:styleId="ListLabel27">
    <w:name w:val="ListLabel 27"/>
    <w:qFormat/>
    <w:rPr>
      <w:b/>
    </w:rPr>
  </w:style>
  <w:style w:type="character" w:styleId="ListLabel28">
    <w:name w:val="ListLabel 28"/>
    <w:qFormat/>
    <w:rPr>
      <w:sz w:val="24"/>
    </w:rPr>
  </w:style>
  <w:style w:type="character" w:styleId="ListLabel29">
    <w:name w:val="ListLabel 29"/>
    <w:qFormat/>
    <w:rPr>
      <w:sz w:val="24"/>
    </w:rPr>
  </w:style>
  <w:style w:type="character" w:styleId="ListLabel30">
    <w:name w:val="ListLabel 30"/>
    <w:qFormat/>
    <w:rPr>
      <w:sz w:val="24"/>
    </w:rPr>
  </w:style>
  <w:style w:type="character" w:styleId="ListLabel31">
    <w:name w:val="ListLabel 31"/>
    <w:qFormat/>
    <w:rPr>
      <w:rFonts w:eastAsia="Times New Roman" w:cs="Times New Roman"/>
    </w:rPr>
  </w:style>
  <w:style w:type="character" w:styleId="ListLabel32">
    <w:name w:val="ListLabel 32"/>
    <w:qFormat/>
    <w:rPr>
      <w:color w:val="00000A"/>
    </w:rPr>
  </w:style>
  <w:style w:type="character" w:styleId="ListLabel33">
    <w:name w:val="ListLabel 33"/>
    <w:qFormat/>
    <w:rPr>
      <w:sz w:val="24"/>
    </w:rPr>
  </w:style>
  <w:style w:type="character" w:styleId="ListLabel34">
    <w:name w:val="ListLabel 34"/>
    <w:qFormat/>
    <w:rPr>
      <w:rFonts w:eastAsia="Times New Roman" w:cs="Times New Roman"/>
    </w:rPr>
  </w:style>
  <w:style w:type="character" w:styleId="ListLabel35">
    <w:name w:val="ListLabel 35"/>
    <w:qFormat/>
    <w:rPr>
      <w:color w:val="00000A"/>
    </w:rPr>
  </w:style>
  <w:style w:type="character" w:styleId="Style46">
    <w:name w:val="Ссылка указателя"/>
    <w:qFormat/>
    <w:rPr/>
  </w:style>
  <w:style w:type="character" w:styleId="ListLabel359">
    <w:name w:val="ListLabel 359"/>
    <w:qFormat/>
    <w:rPr>
      <w:rFonts w:ascii="Times New Roman" w:hAnsi="Times New Roman" w:cs="Symbol"/>
      <w:sz w:val="24"/>
    </w:rPr>
  </w:style>
  <w:style w:type="character" w:styleId="ListLabel360">
    <w:name w:val="ListLabel 360"/>
    <w:qFormat/>
    <w:rPr>
      <w:rFonts w:cs="Courier New"/>
    </w:rPr>
  </w:style>
  <w:style w:type="character" w:styleId="ListLabel361">
    <w:name w:val="ListLabel 361"/>
    <w:qFormat/>
    <w:rPr>
      <w:rFonts w:cs="Wingdings"/>
    </w:rPr>
  </w:style>
  <w:style w:type="character" w:styleId="ListLabel362">
    <w:name w:val="ListLabel 362"/>
    <w:qFormat/>
    <w:rPr>
      <w:rFonts w:cs="Symbol"/>
    </w:rPr>
  </w:style>
  <w:style w:type="character" w:styleId="ListLabel363">
    <w:name w:val="ListLabel 363"/>
    <w:qFormat/>
    <w:rPr>
      <w:rFonts w:cs="Courier New"/>
    </w:rPr>
  </w:style>
  <w:style w:type="character" w:styleId="ListLabel364">
    <w:name w:val="ListLabel 364"/>
    <w:qFormat/>
    <w:rPr>
      <w:rFonts w:cs="Wingdings"/>
    </w:rPr>
  </w:style>
  <w:style w:type="character" w:styleId="ListLabel365">
    <w:name w:val="ListLabel 365"/>
    <w:qFormat/>
    <w:rPr>
      <w:rFonts w:cs="Symbol"/>
    </w:rPr>
  </w:style>
  <w:style w:type="character" w:styleId="ListLabel366">
    <w:name w:val="ListLabel 366"/>
    <w:qFormat/>
    <w:rPr>
      <w:rFonts w:cs="Courier New"/>
    </w:rPr>
  </w:style>
  <w:style w:type="character" w:styleId="ListLabel367">
    <w:name w:val="ListLabel 367"/>
    <w:qFormat/>
    <w:rPr>
      <w:rFonts w:cs="Wingdings"/>
    </w:rPr>
  </w:style>
  <w:style w:type="character" w:styleId="ListLabel350">
    <w:name w:val="ListLabel 350"/>
    <w:qFormat/>
    <w:rPr>
      <w:rFonts w:ascii="Times New Roman" w:hAnsi="Times New Roman" w:cs="Symbol"/>
      <w:sz w:val="24"/>
    </w:rPr>
  </w:style>
  <w:style w:type="character" w:styleId="ListLabel351">
    <w:name w:val="ListLabel 351"/>
    <w:qFormat/>
    <w:rPr>
      <w:rFonts w:cs="Courier New"/>
    </w:rPr>
  </w:style>
  <w:style w:type="character" w:styleId="ListLabel352">
    <w:name w:val="ListLabel 352"/>
    <w:qFormat/>
    <w:rPr>
      <w:rFonts w:cs="Wingdings"/>
    </w:rPr>
  </w:style>
  <w:style w:type="character" w:styleId="ListLabel353">
    <w:name w:val="ListLabel 353"/>
    <w:qFormat/>
    <w:rPr>
      <w:rFonts w:cs="Symbol"/>
    </w:rPr>
  </w:style>
  <w:style w:type="character" w:styleId="ListLabel354">
    <w:name w:val="ListLabel 354"/>
    <w:qFormat/>
    <w:rPr>
      <w:rFonts w:cs="Courier New"/>
    </w:rPr>
  </w:style>
  <w:style w:type="character" w:styleId="ListLabel355">
    <w:name w:val="ListLabel 355"/>
    <w:qFormat/>
    <w:rPr>
      <w:rFonts w:cs="Wingdings"/>
    </w:rPr>
  </w:style>
  <w:style w:type="character" w:styleId="ListLabel356">
    <w:name w:val="ListLabel 356"/>
    <w:qFormat/>
    <w:rPr>
      <w:rFonts w:cs="Symbol"/>
    </w:rPr>
  </w:style>
  <w:style w:type="character" w:styleId="ListLabel357">
    <w:name w:val="ListLabel 357"/>
    <w:qFormat/>
    <w:rPr>
      <w:rFonts w:cs="Courier New"/>
    </w:rPr>
  </w:style>
  <w:style w:type="character" w:styleId="ListLabel358">
    <w:name w:val="ListLabel 358"/>
    <w:qFormat/>
    <w:rPr>
      <w:rFonts w:cs="Wingdings"/>
    </w:rPr>
  </w:style>
  <w:style w:type="character" w:styleId="ListLabel368">
    <w:name w:val="ListLabel 368"/>
    <w:qFormat/>
    <w:rPr>
      <w:rFonts w:ascii="Times New Roman" w:hAnsi="Times New Roman" w:cs="Symbol"/>
      <w:sz w:val="24"/>
    </w:rPr>
  </w:style>
  <w:style w:type="character" w:styleId="ListLabel369">
    <w:name w:val="ListLabel 369"/>
    <w:qFormat/>
    <w:rPr>
      <w:rFonts w:cs="Courier New"/>
    </w:rPr>
  </w:style>
  <w:style w:type="character" w:styleId="ListLabel370">
    <w:name w:val="ListLabel 370"/>
    <w:qFormat/>
    <w:rPr>
      <w:rFonts w:cs="Wingdings"/>
    </w:rPr>
  </w:style>
  <w:style w:type="character" w:styleId="ListLabel371">
    <w:name w:val="ListLabel 371"/>
    <w:qFormat/>
    <w:rPr>
      <w:rFonts w:cs="Symbol"/>
    </w:rPr>
  </w:style>
  <w:style w:type="character" w:styleId="ListLabel372">
    <w:name w:val="ListLabel 372"/>
    <w:qFormat/>
    <w:rPr>
      <w:rFonts w:cs="Courier New"/>
    </w:rPr>
  </w:style>
  <w:style w:type="character" w:styleId="ListLabel373">
    <w:name w:val="ListLabel 373"/>
    <w:qFormat/>
    <w:rPr>
      <w:rFonts w:cs="Wingdings"/>
    </w:rPr>
  </w:style>
  <w:style w:type="character" w:styleId="ListLabel374">
    <w:name w:val="ListLabel 374"/>
    <w:qFormat/>
    <w:rPr>
      <w:rFonts w:cs="Symbol"/>
    </w:rPr>
  </w:style>
  <w:style w:type="character" w:styleId="ListLabel375">
    <w:name w:val="ListLabel 375"/>
    <w:qFormat/>
    <w:rPr>
      <w:rFonts w:cs="Courier New"/>
    </w:rPr>
  </w:style>
  <w:style w:type="character" w:styleId="ListLabel376">
    <w:name w:val="ListLabel 376"/>
    <w:qFormat/>
    <w:rPr>
      <w:rFonts w:cs="Wingdings"/>
    </w:rPr>
  </w:style>
  <w:style w:type="character" w:styleId="ListLabel377">
    <w:name w:val="ListLabel 377"/>
    <w:qFormat/>
    <w:rPr>
      <w:rFonts w:ascii="Times New Roman" w:hAnsi="Times New Roman" w:cs="Symbol"/>
      <w:sz w:val="24"/>
    </w:rPr>
  </w:style>
  <w:style w:type="character" w:styleId="ListLabel378">
    <w:name w:val="ListLabel 378"/>
    <w:qFormat/>
    <w:rPr>
      <w:rFonts w:cs="Courier New"/>
    </w:rPr>
  </w:style>
  <w:style w:type="character" w:styleId="ListLabel379">
    <w:name w:val="ListLabel 379"/>
    <w:qFormat/>
    <w:rPr>
      <w:rFonts w:cs="Wingdings"/>
    </w:rPr>
  </w:style>
  <w:style w:type="character" w:styleId="ListLabel380">
    <w:name w:val="ListLabel 380"/>
    <w:qFormat/>
    <w:rPr>
      <w:rFonts w:cs="Symbol"/>
    </w:rPr>
  </w:style>
  <w:style w:type="character" w:styleId="ListLabel381">
    <w:name w:val="ListLabel 381"/>
    <w:qFormat/>
    <w:rPr>
      <w:rFonts w:cs="Courier New"/>
    </w:rPr>
  </w:style>
  <w:style w:type="character" w:styleId="ListLabel382">
    <w:name w:val="ListLabel 382"/>
    <w:qFormat/>
    <w:rPr>
      <w:rFonts w:cs="Wingdings"/>
    </w:rPr>
  </w:style>
  <w:style w:type="character" w:styleId="ListLabel383">
    <w:name w:val="ListLabel 383"/>
    <w:qFormat/>
    <w:rPr>
      <w:rFonts w:cs="Symbol"/>
    </w:rPr>
  </w:style>
  <w:style w:type="character" w:styleId="ListLabel384">
    <w:name w:val="ListLabel 384"/>
    <w:qFormat/>
    <w:rPr>
      <w:rFonts w:cs="Courier New"/>
    </w:rPr>
  </w:style>
  <w:style w:type="character" w:styleId="ListLabel385">
    <w:name w:val="ListLabel 385"/>
    <w:qFormat/>
    <w:rPr>
      <w:rFonts w:cs="Wingdings"/>
    </w:rPr>
  </w:style>
  <w:style w:type="character" w:styleId="ListLabel386">
    <w:name w:val="ListLabel 386"/>
    <w:qFormat/>
    <w:rPr>
      <w:rFonts w:ascii="Times New Roman" w:hAnsi="Times New Roman" w:cs="Symbol"/>
      <w:sz w:val="24"/>
    </w:rPr>
  </w:style>
  <w:style w:type="character" w:styleId="ListLabel387">
    <w:name w:val="ListLabel 387"/>
    <w:qFormat/>
    <w:rPr>
      <w:rFonts w:cs="Courier New"/>
    </w:rPr>
  </w:style>
  <w:style w:type="character" w:styleId="ListLabel388">
    <w:name w:val="ListLabel 388"/>
    <w:qFormat/>
    <w:rPr>
      <w:rFonts w:cs="Wingdings"/>
    </w:rPr>
  </w:style>
  <w:style w:type="character" w:styleId="ListLabel389">
    <w:name w:val="ListLabel 389"/>
    <w:qFormat/>
    <w:rPr>
      <w:rFonts w:cs="Symbol"/>
    </w:rPr>
  </w:style>
  <w:style w:type="character" w:styleId="ListLabel390">
    <w:name w:val="ListLabel 390"/>
    <w:qFormat/>
    <w:rPr>
      <w:rFonts w:cs="Courier New"/>
    </w:rPr>
  </w:style>
  <w:style w:type="character" w:styleId="ListLabel391">
    <w:name w:val="ListLabel 391"/>
    <w:qFormat/>
    <w:rPr>
      <w:rFonts w:cs="Wingdings"/>
    </w:rPr>
  </w:style>
  <w:style w:type="character" w:styleId="ListLabel392">
    <w:name w:val="ListLabel 392"/>
    <w:qFormat/>
    <w:rPr>
      <w:rFonts w:cs="Symbol"/>
    </w:rPr>
  </w:style>
  <w:style w:type="character" w:styleId="ListLabel393">
    <w:name w:val="ListLabel 393"/>
    <w:qFormat/>
    <w:rPr>
      <w:rFonts w:cs="Courier New"/>
    </w:rPr>
  </w:style>
  <w:style w:type="character" w:styleId="ListLabel394">
    <w:name w:val="ListLabel 394"/>
    <w:qFormat/>
    <w:rPr>
      <w:rFonts w:cs="Wingdings"/>
    </w:rPr>
  </w:style>
  <w:style w:type="character" w:styleId="Style47">
    <w:name w:val="Привязка сноски"/>
    <w:rPr>
      <w:vertAlign w:val="superscript"/>
    </w:rPr>
  </w:style>
  <w:style w:type="character" w:styleId="Style48">
    <w:name w:val="Привязка концевой сноски"/>
    <w:rPr>
      <w:vertAlign w:val="superscript"/>
    </w:rPr>
  </w:style>
  <w:style w:type="character" w:styleId="Style49">
    <w:name w:val="Символы концевой сноски"/>
    <w:qFormat/>
    <w:rPr/>
  </w:style>
  <w:style w:type="character" w:styleId="ListLabel395">
    <w:name w:val="ListLabel 395"/>
    <w:qFormat/>
    <w:rPr>
      <w:rFonts w:cs="Symbol"/>
      <w:sz w:val="24"/>
    </w:rPr>
  </w:style>
  <w:style w:type="character" w:styleId="ListLabel396">
    <w:name w:val="ListLabel 396"/>
    <w:qFormat/>
    <w:rPr>
      <w:rFonts w:cs="Courier New"/>
    </w:rPr>
  </w:style>
  <w:style w:type="character" w:styleId="ListLabel397">
    <w:name w:val="ListLabel 397"/>
    <w:qFormat/>
    <w:rPr>
      <w:rFonts w:cs="Wingdings"/>
    </w:rPr>
  </w:style>
  <w:style w:type="character" w:styleId="ListLabel398">
    <w:name w:val="ListLabel 398"/>
    <w:qFormat/>
    <w:rPr>
      <w:rFonts w:cs="Symbol"/>
    </w:rPr>
  </w:style>
  <w:style w:type="character" w:styleId="ListLabel399">
    <w:name w:val="ListLabel 399"/>
    <w:qFormat/>
    <w:rPr>
      <w:rFonts w:cs="Courier New"/>
    </w:rPr>
  </w:style>
  <w:style w:type="character" w:styleId="ListLabel400">
    <w:name w:val="ListLabel 400"/>
    <w:qFormat/>
    <w:rPr>
      <w:rFonts w:cs="Wingdings"/>
    </w:rPr>
  </w:style>
  <w:style w:type="character" w:styleId="ListLabel401">
    <w:name w:val="ListLabel 401"/>
    <w:qFormat/>
    <w:rPr>
      <w:rFonts w:cs="Symbol"/>
    </w:rPr>
  </w:style>
  <w:style w:type="character" w:styleId="ListLabel402">
    <w:name w:val="ListLabel 402"/>
    <w:qFormat/>
    <w:rPr>
      <w:rFonts w:cs="Courier New"/>
    </w:rPr>
  </w:style>
  <w:style w:type="character" w:styleId="ListLabel403">
    <w:name w:val="ListLabel 403"/>
    <w:qFormat/>
    <w:rPr>
      <w:rFonts w:cs="Wingdings"/>
    </w:rPr>
  </w:style>
  <w:style w:type="character" w:styleId="ListLabel404">
    <w:name w:val="ListLabel 404"/>
    <w:qFormat/>
    <w:rPr>
      <w:rFonts w:cs="Symbol"/>
      <w:sz w:val="24"/>
    </w:rPr>
  </w:style>
  <w:style w:type="character" w:styleId="ListLabel405">
    <w:name w:val="ListLabel 405"/>
    <w:qFormat/>
    <w:rPr>
      <w:rFonts w:cs="Courier New"/>
    </w:rPr>
  </w:style>
  <w:style w:type="character" w:styleId="ListLabel406">
    <w:name w:val="ListLabel 406"/>
    <w:qFormat/>
    <w:rPr>
      <w:rFonts w:cs="Wingdings"/>
    </w:rPr>
  </w:style>
  <w:style w:type="character" w:styleId="ListLabel407">
    <w:name w:val="ListLabel 407"/>
    <w:qFormat/>
    <w:rPr>
      <w:rFonts w:cs="Symbol"/>
    </w:rPr>
  </w:style>
  <w:style w:type="character" w:styleId="ListLabel408">
    <w:name w:val="ListLabel 408"/>
    <w:qFormat/>
    <w:rPr>
      <w:rFonts w:cs="Courier New"/>
    </w:rPr>
  </w:style>
  <w:style w:type="character" w:styleId="ListLabel409">
    <w:name w:val="ListLabel 409"/>
    <w:qFormat/>
    <w:rPr>
      <w:rFonts w:cs="Wingdings"/>
    </w:rPr>
  </w:style>
  <w:style w:type="character" w:styleId="ListLabel410">
    <w:name w:val="ListLabel 410"/>
    <w:qFormat/>
    <w:rPr>
      <w:rFonts w:cs="Symbol"/>
    </w:rPr>
  </w:style>
  <w:style w:type="character" w:styleId="ListLabel411">
    <w:name w:val="ListLabel 411"/>
    <w:qFormat/>
    <w:rPr>
      <w:rFonts w:cs="Courier New"/>
    </w:rPr>
  </w:style>
  <w:style w:type="character" w:styleId="ListLabel412">
    <w:name w:val="ListLabel 412"/>
    <w:qFormat/>
    <w:rPr>
      <w:rFonts w:cs="Wingdings"/>
    </w:rPr>
  </w:style>
  <w:style w:type="character" w:styleId="ListLabel413">
    <w:name w:val="ListLabel 413"/>
    <w:qFormat/>
    <w:rPr>
      <w:rFonts w:cs="Symbol"/>
      <w:sz w:val="24"/>
    </w:rPr>
  </w:style>
  <w:style w:type="character" w:styleId="ListLabel414">
    <w:name w:val="ListLabel 414"/>
    <w:qFormat/>
    <w:rPr>
      <w:rFonts w:cs="Courier New"/>
    </w:rPr>
  </w:style>
  <w:style w:type="character" w:styleId="ListLabel415">
    <w:name w:val="ListLabel 415"/>
    <w:qFormat/>
    <w:rPr>
      <w:rFonts w:cs="Wingdings"/>
    </w:rPr>
  </w:style>
  <w:style w:type="character" w:styleId="ListLabel416">
    <w:name w:val="ListLabel 416"/>
    <w:qFormat/>
    <w:rPr>
      <w:rFonts w:cs="Symbol"/>
    </w:rPr>
  </w:style>
  <w:style w:type="character" w:styleId="ListLabel417">
    <w:name w:val="ListLabel 417"/>
    <w:qFormat/>
    <w:rPr>
      <w:rFonts w:cs="Courier New"/>
    </w:rPr>
  </w:style>
  <w:style w:type="character" w:styleId="ListLabel418">
    <w:name w:val="ListLabel 418"/>
    <w:qFormat/>
    <w:rPr>
      <w:rFonts w:cs="Wingdings"/>
    </w:rPr>
  </w:style>
  <w:style w:type="character" w:styleId="ListLabel419">
    <w:name w:val="ListLabel 419"/>
    <w:qFormat/>
    <w:rPr>
      <w:rFonts w:cs="Symbol"/>
    </w:rPr>
  </w:style>
  <w:style w:type="character" w:styleId="ListLabel420">
    <w:name w:val="ListLabel 420"/>
    <w:qFormat/>
    <w:rPr>
      <w:rFonts w:cs="Courier New"/>
    </w:rPr>
  </w:style>
  <w:style w:type="character" w:styleId="ListLabel421">
    <w:name w:val="ListLabel 421"/>
    <w:qFormat/>
    <w:rPr>
      <w:rFonts w:cs="Wingdings"/>
    </w:rPr>
  </w:style>
  <w:style w:type="character" w:styleId="ListLabel422">
    <w:name w:val="ListLabel 422"/>
    <w:qFormat/>
    <w:rPr>
      <w:rFonts w:cs="Symbol"/>
      <w:sz w:val="24"/>
    </w:rPr>
  </w:style>
  <w:style w:type="character" w:styleId="ListLabel423">
    <w:name w:val="ListLabel 423"/>
    <w:qFormat/>
    <w:rPr>
      <w:rFonts w:cs="Courier New"/>
    </w:rPr>
  </w:style>
  <w:style w:type="character" w:styleId="ListLabel424">
    <w:name w:val="ListLabel 424"/>
    <w:qFormat/>
    <w:rPr>
      <w:rFonts w:cs="Wingdings"/>
    </w:rPr>
  </w:style>
  <w:style w:type="character" w:styleId="ListLabel425">
    <w:name w:val="ListLabel 425"/>
    <w:qFormat/>
    <w:rPr>
      <w:rFonts w:cs="Symbol"/>
    </w:rPr>
  </w:style>
  <w:style w:type="character" w:styleId="ListLabel426">
    <w:name w:val="ListLabel 426"/>
    <w:qFormat/>
    <w:rPr>
      <w:rFonts w:cs="Courier New"/>
    </w:rPr>
  </w:style>
  <w:style w:type="character" w:styleId="ListLabel427">
    <w:name w:val="ListLabel 427"/>
    <w:qFormat/>
    <w:rPr>
      <w:rFonts w:cs="Wingdings"/>
    </w:rPr>
  </w:style>
  <w:style w:type="character" w:styleId="ListLabel428">
    <w:name w:val="ListLabel 428"/>
    <w:qFormat/>
    <w:rPr>
      <w:rFonts w:cs="Symbol"/>
    </w:rPr>
  </w:style>
  <w:style w:type="character" w:styleId="ListLabel429">
    <w:name w:val="ListLabel 429"/>
    <w:qFormat/>
    <w:rPr>
      <w:rFonts w:cs="Courier New"/>
    </w:rPr>
  </w:style>
  <w:style w:type="character" w:styleId="ListLabel430">
    <w:name w:val="ListLabel 430"/>
    <w:qFormat/>
    <w:rPr>
      <w:rFonts w:cs="Wingdings"/>
    </w:rPr>
  </w:style>
  <w:style w:type="character" w:styleId="ListLabel431">
    <w:name w:val="ListLabel 431"/>
    <w:qFormat/>
    <w:rPr>
      <w:rFonts w:cs="Symbol"/>
      <w:sz w:val="24"/>
    </w:rPr>
  </w:style>
  <w:style w:type="character" w:styleId="ListLabel432">
    <w:name w:val="ListLabel 432"/>
    <w:qFormat/>
    <w:rPr>
      <w:rFonts w:cs="Courier New"/>
    </w:rPr>
  </w:style>
  <w:style w:type="character" w:styleId="ListLabel433">
    <w:name w:val="ListLabel 433"/>
    <w:qFormat/>
    <w:rPr>
      <w:rFonts w:cs="Wingdings"/>
    </w:rPr>
  </w:style>
  <w:style w:type="character" w:styleId="ListLabel434">
    <w:name w:val="ListLabel 434"/>
    <w:qFormat/>
    <w:rPr>
      <w:rFonts w:cs="Symbol"/>
    </w:rPr>
  </w:style>
  <w:style w:type="character" w:styleId="ListLabel435">
    <w:name w:val="ListLabel 435"/>
    <w:qFormat/>
    <w:rPr>
      <w:rFonts w:cs="Courier New"/>
    </w:rPr>
  </w:style>
  <w:style w:type="character" w:styleId="ListLabel436">
    <w:name w:val="ListLabel 436"/>
    <w:qFormat/>
    <w:rPr>
      <w:rFonts w:cs="Wingdings"/>
    </w:rPr>
  </w:style>
  <w:style w:type="character" w:styleId="ListLabel437">
    <w:name w:val="ListLabel 437"/>
    <w:qFormat/>
    <w:rPr>
      <w:rFonts w:cs="Symbol"/>
    </w:rPr>
  </w:style>
  <w:style w:type="character" w:styleId="ListLabel438">
    <w:name w:val="ListLabel 438"/>
    <w:qFormat/>
    <w:rPr>
      <w:rFonts w:cs="Courier New"/>
    </w:rPr>
  </w:style>
  <w:style w:type="character" w:styleId="ListLabel439">
    <w:name w:val="ListLabel 439"/>
    <w:qFormat/>
    <w:rPr>
      <w:rFonts w:cs="Wingdings"/>
    </w:rPr>
  </w:style>
  <w:style w:type="character" w:styleId="ListLabel440">
    <w:name w:val="ListLabel 440"/>
    <w:qFormat/>
    <w:rPr>
      <w:rFonts w:cs="Symbol"/>
      <w:sz w:val="24"/>
    </w:rPr>
  </w:style>
  <w:style w:type="character" w:styleId="ListLabel441">
    <w:name w:val="ListLabel 441"/>
    <w:qFormat/>
    <w:rPr>
      <w:rFonts w:cs="Courier New"/>
    </w:rPr>
  </w:style>
  <w:style w:type="character" w:styleId="ListLabel442">
    <w:name w:val="ListLabel 442"/>
    <w:qFormat/>
    <w:rPr>
      <w:rFonts w:cs="Wingdings"/>
    </w:rPr>
  </w:style>
  <w:style w:type="character" w:styleId="ListLabel443">
    <w:name w:val="ListLabel 443"/>
    <w:qFormat/>
    <w:rPr>
      <w:rFonts w:cs="Symbol"/>
    </w:rPr>
  </w:style>
  <w:style w:type="character" w:styleId="ListLabel444">
    <w:name w:val="ListLabel 444"/>
    <w:qFormat/>
    <w:rPr>
      <w:rFonts w:cs="Courier New"/>
    </w:rPr>
  </w:style>
  <w:style w:type="character" w:styleId="ListLabel445">
    <w:name w:val="ListLabel 445"/>
    <w:qFormat/>
    <w:rPr>
      <w:rFonts w:cs="Wingdings"/>
    </w:rPr>
  </w:style>
  <w:style w:type="character" w:styleId="ListLabel446">
    <w:name w:val="ListLabel 446"/>
    <w:qFormat/>
    <w:rPr>
      <w:rFonts w:cs="Symbol"/>
    </w:rPr>
  </w:style>
  <w:style w:type="character" w:styleId="ListLabel447">
    <w:name w:val="ListLabel 447"/>
    <w:qFormat/>
    <w:rPr>
      <w:rFonts w:cs="Courier New"/>
    </w:rPr>
  </w:style>
  <w:style w:type="character" w:styleId="ListLabel448">
    <w:name w:val="ListLabel 448"/>
    <w:qFormat/>
    <w:rPr>
      <w:rFonts w:cs="Wingdings"/>
    </w:rPr>
  </w:style>
  <w:style w:type="character" w:styleId="ListLabel449">
    <w:name w:val="ListLabel 449"/>
    <w:qFormat/>
    <w:rPr>
      <w:rFonts w:cs="Symbol"/>
      <w:sz w:val="24"/>
    </w:rPr>
  </w:style>
  <w:style w:type="character" w:styleId="ListLabel450">
    <w:name w:val="ListLabel 450"/>
    <w:qFormat/>
    <w:rPr>
      <w:rFonts w:cs="Courier New"/>
    </w:rPr>
  </w:style>
  <w:style w:type="character" w:styleId="ListLabel451">
    <w:name w:val="ListLabel 451"/>
    <w:qFormat/>
    <w:rPr>
      <w:rFonts w:cs="Wingdings"/>
    </w:rPr>
  </w:style>
  <w:style w:type="character" w:styleId="ListLabel452">
    <w:name w:val="ListLabel 452"/>
    <w:qFormat/>
    <w:rPr>
      <w:rFonts w:cs="Symbol"/>
    </w:rPr>
  </w:style>
  <w:style w:type="character" w:styleId="ListLabel453">
    <w:name w:val="ListLabel 453"/>
    <w:qFormat/>
    <w:rPr>
      <w:rFonts w:cs="Courier New"/>
    </w:rPr>
  </w:style>
  <w:style w:type="character" w:styleId="ListLabel454">
    <w:name w:val="ListLabel 454"/>
    <w:qFormat/>
    <w:rPr>
      <w:rFonts w:cs="Wingdings"/>
    </w:rPr>
  </w:style>
  <w:style w:type="character" w:styleId="ListLabel455">
    <w:name w:val="ListLabel 455"/>
    <w:qFormat/>
    <w:rPr>
      <w:rFonts w:cs="Symbol"/>
    </w:rPr>
  </w:style>
  <w:style w:type="character" w:styleId="ListLabel456">
    <w:name w:val="ListLabel 456"/>
    <w:qFormat/>
    <w:rPr>
      <w:rFonts w:cs="Courier New"/>
    </w:rPr>
  </w:style>
  <w:style w:type="character" w:styleId="ListLabel457">
    <w:name w:val="ListLabel 457"/>
    <w:qFormat/>
    <w:rPr>
      <w:rFonts w:cs="Wingdings"/>
    </w:rPr>
  </w:style>
  <w:style w:type="character" w:styleId="ListLabel458">
    <w:name w:val="ListLabel 458"/>
    <w:qFormat/>
    <w:rPr>
      <w:rFonts w:cs="Symbol"/>
      <w:sz w:val="24"/>
    </w:rPr>
  </w:style>
  <w:style w:type="character" w:styleId="ListLabel459">
    <w:name w:val="ListLabel 459"/>
    <w:qFormat/>
    <w:rPr>
      <w:rFonts w:cs="Courier New"/>
    </w:rPr>
  </w:style>
  <w:style w:type="character" w:styleId="ListLabel460">
    <w:name w:val="ListLabel 460"/>
    <w:qFormat/>
    <w:rPr>
      <w:rFonts w:cs="Wingdings"/>
    </w:rPr>
  </w:style>
  <w:style w:type="character" w:styleId="ListLabel461">
    <w:name w:val="ListLabel 461"/>
    <w:qFormat/>
    <w:rPr>
      <w:rFonts w:cs="Symbol"/>
    </w:rPr>
  </w:style>
  <w:style w:type="character" w:styleId="ListLabel462">
    <w:name w:val="ListLabel 462"/>
    <w:qFormat/>
    <w:rPr>
      <w:rFonts w:cs="Courier New"/>
    </w:rPr>
  </w:style>
  <w:style w:type="character" w:styleId="ListLabel463">
    <w:name w:val="ListLabel 463"/>
    <w:qFormat/>
    <w:rPr>
      <w:rFonts w:cs="Wingdings"/>
    </w:rPr>
  </w:style>
  <w:style w:type="character" w:styleId="ListLabel464">
    <w:name w:val="ListLabel 464"/>
    <w:qFormat/>
    <w:rPr>
      <w:rFonts w:cs="Symbol"/>
    </w:rPr>
  </w:style>
  <w:style w:type="character" w:styleId="ListLabel465">
    <w:name w:val="ListLabel 465"/>
    <w:qFormat/>
    <w:rPr>
      <w:rFonts w:cs="Courier New"/>
    </w:rPr>
  </w:style>
  <w:style w:type="character" w:styleId="ListLabel466">
    <w:name w:val="ListLabel 466"/>
    <w:qFormat/>
    <w:rPr>
      <w:rFonts w:cs="Wingdings"/>
    </w:rPr>
  </w:style>
  <w:style w:type="character" w:styleId="ListLabel467">
    <w:name w:val="ListLabel 467"/>
    <w:qFormat/>
    <w:rPr>
      <w:rFonts w:cs="Symbol"/>
      <w:sz w:val="24"/>
    </w:rPr>
  </w:style>
  <w:style w:type="character" w:styleId="ListLabel468">
    <w:name w:val="ListLabel 468"/>
    <w:qFormat/>
    <w:rPr>
      <w:rFonts w:cs="Courier New"/>
    </w:rPr>
  </w:style>
  <w:style w:type="character" w:styleId="ListLabel469">
    <w:name w:val="ListLabel 469"/>
    <w:qFormat/>
    <w:rPr>
      <w:rFonts w:cs="Wingdings"/>
    </w:rPr>
  </w:style>
  <w:style w:type="character" w:styleId="ListLabel470">
    <w:name w:val="ListLabel 470"/>
    <w:qFormat/>
    <w:rPr>
      <w:rFonts w:cs="Symbol"/>
    </w:rPr>
  </w:style>
  <w:style w:type="character" w:styleId="ListLabel471">
    <w:name w:val="ListLabel 471"/>
    <w:qFormat/>
    <w:rPr>
      <w:rFonts w:cs="Courier New"/>
    </w:rPr>
  </w:style>
  <w:style w:type="character" w:styleId="ListLabel472">
    <w:name w:val="ListLabel 472"/>
    <w:qFormat/>
    <w:rPr>
      <w:rFonts w:cs="Wingdings"/>
    </w:rPr>
  </w:style>
  <w:style w:type="character" w:styleId="ListLabel473">
    <w:name w:val="ListLabel 473"/>
    <w:qFormat/>
    <w:rPr>
      <w:rFonts w:cs="Symbol"/>
    </w:rPr>
  </w:style>
  <w:style w:type="character" w:styleId="ListLabel474">
    <w:name w:val="ListLabel 474"/>
    <w:qFormat/>
    <w:rPr>
      <w:rFonts w:cs="Courier New"/>
    </w:rPr>
  </w:style>
  <w:style w:type="character" w:styleId="ListLabel475">
    <w:name w:val="ListLabel 475"/>
    <w:qFormat/>
    <w:rPr>
      <w:rFonts w:cs="Wingdings"/>
    </w:rPr>
  </w:style>
  <w:style w:type="character" w:styleId="ListLabel476">
    <w:name w:val="ListLabel 476"/>
    <w:qFormat/>
    <w:rPr>
      <w:rFonts w:cs="Symbol"/>
      <w:sz w:val="24"/>
    </w:rPr>
  </w:style>
  <w:style w:type="character" w:styleId="ListLabel477">
    <w:name w:val="ListLabel 477"/>
    <w:qFormat/>
    <w:rPr>
      <w:rFonts w:cs="Courier New"/>
    </w:rPr>
  </w:style>
  <w:style w:type="character" w:styleId="ListLabel478">
    <w:name w:val="ListLabel 478"/>
    <w:qFormat/>
    <w:rPr>
      <w:rFonts w:cs="Wingdings"/>
    </w:rPr>
  </w:style>
  <w:style w:type="character" w:styleId="ListLabel479">
    <w:name w:val="ListLabel 479"/>
    <w:qFormat/>
    <w:rPr>
      <w:rFonts w:cs="Symbol"/>
    </w:rPr>
  </w:style>
  <w:style w:type="character" w:styleId="ListLabel480">
    <w:name w:val="ListLabel 480"/>
    <w:qFormat/>
    <w:rPr>
      <w:rFonts w:cs="Courier New"/>
    </w:rPr>
  </w:style>
  <w:style w:type="character" w:styleId="ListLabel481">
    <w:name w:val="ListLabel 481"/>
    <w:qFormat/>
    <w:rPr>
      <w:rFonts w:cs="Wingdings"/>
    </w:rPr>
  </w:style>
  <w:style w:type="character" w:styleId="ListLabel482">
    <w:name w:val="ListLabel 482"/>
    <w:qFormat/>
    <w:rPr>
      <w:rFonts w:cs="Symbol"/>
    </w:rPr>
  </w:style>
  <w:style w:type="character" w:styleId="ListLabel483">
    <w:name w:val="ListLabel 483"/>
    <w:qFormat/>
    <w:rPr>
      <w:rFonts w:cs="Courier New"/>
    </w:rPr>
  </w:style>
  <w:style w:type="character" w:styleId="ListLabel484">
    <w:name w:val="ListLabel 484"/>
    <w:qFormat/>
    <w:rPr>
      <w:rFonts w:cs="Wingdings"/>
    </w:rPr>
  </w:style>
  <w:style w:type="character" w:styleId="ListLabel485">
    <w:name w:val="ListLabel 485"/>
    <w:qFormat/>
    <w:rPr>
      <w:rFonts w:cs="Symbol"/>
      <w:sz w:val="24"/>
    </w:rPr>
  </w:style>
  <w:style w:type="character" w:styleId="ListLabel486">
    <w:name w:val="ListLabel 486"/>
    <w:qFormat/>
    <w:rPr>
      <w:rFonts w:cs="Courier New"/>
    </w:rPr>
  </w:style>
  <w:style w:type="character" w:styleId="ListLabel487">
    <w:name w:val="ListLabel 487"/>
    <w:qFormat/>
    <w:rPr>
      <w:rFonts w:cs="Wingdings"/>
    </w:rPr>
  </w:style>
  <w:style w:type="character" w:styleId="ListLabel488">
    <w:name w:val="ListLabel 488"/>
    <w:qFormat/>
    <w:rPr>
      <w:rFonts w:cs="Symbol"/>
    </w:rPr>
  </w:style>
  <w:style w:type="character" w:styleId="ListLabel489">
    <w:name w:val="ListLabel 489"/>
    <w:qFormat/>
    <w:rPr>
      <w:rFonts w:cs="Courier New"/>
    </w:rPr>
  </w:style>
  <w:style w:type="character" w:styleId="ListLabel490">
    <w:name w:val="ListLabel 490"/>
    <w:qFormat/>
    <w:rPr>
      <w:rFonts w:cs="Wingdings"/>
    </w:rPr>
  </w:style>
  <w:style w:type="character" w:styleId="ListLabel491">
    <w:name w:val="ListLabel 491"/>
    <w:qFormat/>
    <w:rPr>
      <w:rFonts w:cs="Symbol"/>
    </w:rPr>
  </w:style>
  <w:style w:type="character" w:styleId="ListLabel492">
    <w:name w:val="ListLabel 492"/>
    <w:qFormat/>
    <w:rPr>
      <w:rFonts w:cs="Courier New"/>
    </w:rPr>
  </w:style>
  <w:style w:type="character" w:styleId="ListLabel493">
    <w:name w:val="ListLabel 493"/>
    <w:qFormat/>
    <w:rPr>
      <w:rFonts w:cs="Wingdings"/>
    </w:rPr>
  </w:style>
  <w:style w:type="character" w:styleId="ListLabel494">
    <w:name w:val="ListLabel 494"/>
    <w:qFormat/>
    <w:rPr>
      <w:rFonts w:cs="Symbol"/>
      <w:sz w:val="24"/>
    </w:rPr>
  </w:style>
  <w:style w:type="character" w:styleId="ListLabel495">
    <w:name w:val="ListLabel 495"/>
    <w:qFormat/>
    <w:rPr>
      <w:rFonts w:cs="Courier New"/>
    </w:rPr>
  </w:style>
  <w:style w:type="character" w:styleId="ListLabel496">
    <w:name w:val="ListLabel 496"/>
    <w:qFormat/>
    <w:rPr>
      <w:rFonts w:cs="Wingdings"/>
    </w:rPr>
  </w:style>
  <w:style w:type="character" w:styleId="ListLabel497">
    <w:name w:val="ListLabel 497"/>
    <w:qFormat/>
    <w:rPr>
      <w:rFonts w:cs="Symbol"/>
    </w:rPr>
  </w:style>
  <w:style w:type="character" w:styleId="ListLabel498">
    <w:name w:val="ListLabel 498"/>
    <w:qFormat/>
    <w:rPr>
      <w:rFonts w:cs="Courier New"/>
    </w:rPr>
  </w:style>
  <w:style w:type="character" w:styleId="ListLabel499">
    <w:name w:val="ListLabel 499"/>
    <w:qFormat/>
    <w:rPr>
      <w:rFonts w:cs="Wingdings"/>
    </w:rPr>
  </w:style>
  <w:style w:type="character" w:styleId="ListLabel500">
    <w:name w:val="ListLabel 500"/>
    <w:qFormat/>
    <w:rPr>
      <w:rFonts w:cs="Symbol"/>
    </w:rPr>
  </w:style>
  <w:style w:type="character" w:styleId="ListLabel501">
    <w:name w:val="ListLabel 501"/>
    <w:qFormat/>
    <w:rPr>
      <w:rFonts w:cs="Courier New"/>
    </w:rPr>
  </w:style>
  <w:style w:type="character" w:styleId="ListLabel502">
    <w:name w:val="ListLabel 502"/>
    <w:qFormat/>
    <w:rPr>
      <w:rFonts w:cs="Wingdings"/>
    </w:rPr>
  </w:style>
  <w:style w:type="character" w:styleId="ListLabel503">
    <w:name w:val="ListLabel 503"/>
    <w:qFormat/>
    <w:rPr>
      <w:rFonts w:cs="Symbol"/>
      <w:sz w:val="24"/>
    </w:rPr>
  </w:style>
  <w:style w:type="character" w:styleId="ListLabel504">
    <w:name w:val="ListLabel 504"/>
    <w:qFormat/>
    <w:rPr>
      <w:rFonts w:cs="Courier New"/>
    </w:rPr>
  </w:style>
  <w:style w:type="character" w:styleId="ListLabel505">
    <w:name w:val="ListLabel 505"/>
    <w:qFormat/>
    <w:rPr>
      <w:rFonts w:cs="Wingdings"/>
    </w:rPr>
  </w:style>
  <w:style w:type="character" w:styleId="ListLabel506">
    <w:name w:val="ListLabel 506"/>
    <w:qFormat/>
    <w:rPr>
      <w:rFonts w:cs="Symbol"/>
    </w:rPr>
  </w:style>
  <w:style w:type="character" w:styleId="ListLabel507">
    <w:name w:val="ListLabel 507"/>
    <w:qFormat/>
    <w:rPr>
      <w:rFonts w:cs="Courier New"/>
    </w:rPr>
  </w:style>
  <w:style w:type="character" w:styleId="ListLabel508">
    <w:name w:val="ListLabel 508"/>
    <w:qFormat/>
    <w:rPr>
      <w:rFonts w:cs="Wingdings"/>
    </w:rPr>
  </w:style>
  <w:style w:type="character" w:styleId="ListLabel509">
    <w:name w:val="ListLabel 509"/>
    <w:qFormat/>
    <w:rPr>
      <w:rFonts w:cs="Symbol"/>
    </w:rPr>
  </w:style>
  <w:style w:type="character" w:styleId="ListLabel510">
    <w:name w:val="ListLabel 510"/>
    <w:qFormat/>
    <w:rPr>
      <w:rFonts w:cs="Courier New"/>
    </w:rPr>
  </w:style>
  <w:style w:type="character" w:styleId="ListLabel511">
    <w:name w:val="ListLabel 511"/>
    <w:qFormat/>
    <w:rPr>
      <w:rFonts w:cs="Wingdings"/>
    </w:rPr>
  </w:style>
  <w:style w:type="character" w:styleId="ListLabel512">
    <w:name w:val="ListLabel 512"/>
    <w:qFormat/>
    <w:rPr>
      <w:rFonts w:cs="Symbol"/>
      <w:sz w:val="24"/>
    </w:rPr>
  </w:style>
  <w:style w:type="character" w:styleId="ListLabel513">
    <w:name w:val="ListLabel 513"/>
    <w:qFormat/>
    <w:rPr>
      <w:rFonts w:cs="Courier New"/>
    </w:rPr>
  </w:style>
  <w:style w:type="character" w:styleId="ListLabel514">
    <w:name w:val="ListLabel 514"/>
    <w:qFormat/>
    <w:rPr>
      <w:rFonts w:cs="Wingdings"/>
    </w:rPr>
  </w:style>
  <w:style w:type="character" w:styleId="ListLabel515">
    <w:name w:val="ListLabel 515"/>
    <w:qFormat/>
    <w:rPr>
      <w:rFonts w:cs="Symbol"/>
    </w:rPr>
  </w:style>
  <w:style w:type="character" w:styleId="ListLabel516">
    <w:name w:val="ListLabel 516"/>
    <w:qFormat/>
    <w:rPr>
      <w:rFonts w:cs="Courier New"/>
    </w:rPr>
  </w:style>
  <w:style w:type="character" w:styleId="ListLabel517">
    <w:name w:val="ListLabel 517"/>
    <w:qFormat/>
    <w:rPr>
      <w:rFonts w:cs="Wingdings"/>
    </w:rPr>
  </w:style>
  <w:style w:type="character" w:styleId="ListLabel518">
    <w:name w:val="ListLabel 518"/>
    <w:qFormat/>
    <w:rPr>
      <w:rFonts w:cs="Symbol"/>
    </w:rPr>
  </w:style>
  <w:style w:type="character" w:styleId="ListLabel519">
    <w:name w:val="ListLabel 519"/>
    <w:qFormat/>
    <w:rPr>
      <w:rFonts w:cs="Courier New"/>
    </w:rPr>
  </w:style>
  <w:style w:type="character" w:styleId="ListLabel520">
    <w:name w:val="ListLabel 520"/>
    <w:qFormat/>
    <w:rPr>
      <w:rFonts w:cs="Wingdings"/>
    </w:rPr>
  </w:style>
  <w:style w:type="character" w:styleId="ListLabel521">
    <w:name w:val="ListLabel 521"/>
    <w:qFormat/>
    <w:rPr>
      <w:rFonts w:cs="Symbol"/>
      <w:sz w:val="24"/>
    </w:rPr>
  </w:style>
  <w:style w:type="character" w:styleId="ListLabel522">
    <w:name w:val="ListLabel 522"/>
    <w:qFormat/>
    <w:rPr>
      <w:rFonts w:cs="Courier New"/>
    </w:rPr>
  </w:style>
  <w:style w:type="character" w:styleId="ListLabel523">
    <w:name w:val="ListLabel 523"/>
    <w:qFormat/>
    <w:rPr>
      <w:rFonts w:cs="Wingdings"/>
    </w:rPr>
  </w:style>
  <w:style w:type="character" w:styleId="ListLabel524">
    <w:name w:val="ListLabel 524"/>
    <w:qFormat/>
    <w:rPr>
      <w:rFonts w:cs="Symbol"/>
    </w:rPr>
  </w:style>
  <w:style w:type="character" w:styleId="ListLabel525">
    <w:name w:val="ListLabel 525"/>
    <w:qFormat/>
    <w:rPr>
      <w:rFonts w:cs="Courier New"/>
    </w:rPr>
  </w:style>
  <w:style w:type="character" w:styleId="ListLabel526">
    <w:name w:val="ListLabel 526"/>
    <w:qFormat/>
    <w:rPr>
      <w:rFonts w:cs="Wingdings"/>
    </w:rPr>
  </w:style>
  <w:style w:type="character" w:styleId="ListLabel527">
    <w:name w:val="ListLabel 527"/>
    <w:qFormat/>
    <w:rPr>
      <w:rFonts w:cs="Symbol"/>
    </w:rPr>
  </w:style>
  <w:style w:type="character" w:styleId="ListLabel528">
    <w:name w:val="ListLabel 528"/>
    <w:qFormat/>
    <w:rPr>
      <w:rFonts w:cs="Courier New"/>
    </w:rPr>
  </w:style>
  <w:style w:type="character" w:styleId="ListLabel529">
    <w:name w:val="ListLabel 529"/>
    <w:qFormat/>
    <w:rPr>
      <w:rFonts w:cs="Wingdings"/>
    </w:rPr>
  </w:style>
  <w:style w:type="paragraph" w:styleId="Style50" w:customStyle="1">
    <w:name w:val="Заголовок"/>
    <w:basedOn w:val="Normal"/>
    <w:next w:val="Style51"/>
    <w:qFormat/>
    <w:rsid w:val="00ea4301"/>
    <w:pPr>
      <w:widowControl/>
      <w:overflowPunct w:val="false"/>
      <w:bidi w:val="0"/>
      <w:spacing w:lineRule="auto" w:line="240" w:before="0" w:after="0"/>
      <w:jc w:val="left"/>
      <w:textAlignment w:val="baseline"/>
    </w:pPr>
    <w:rPr>
      <w:rFonts w:ascii="Arial" w:hAnsi="Arial" w:eastAsia="Times New Roman" w:cs="Times New Roman"/>
      <w:b/>
      <w:szCs w:val="20"/>
      <w:lang w:eastAsia="ru-RU"/>
    </w:rPr>
  </w:style>
  <w:style w:type="paragraph" w:styleId="Style51">
    <w:name w:val="Body Text"/>
    <w:basedOn w:val="Normal"/>
    <w:link w:val="afffc"/>
    <w:unhideWhenUsed/>
    <w:rsid w:val="00ea4301"/>
    <w:pPr>
      <w:spacing w:lineRule="auto" w:line="360" w:before="0" w:after="120"/>
      <w:ind w:firstLine="709"/>
      <w:jc w:val="both"/>
    </w:pPr>
    <w:rPr>
      <w:rFonts w:ascii="Times New Roman" w:hAnsi="Times New Roman" w:cs="Courier New"/>
      <w:sz w:val="24"/>
      <w:szCs w:val="24"/>
      <w:lang w:eastAsia="ru-RU"/>
    </w:rPr>
  </w:style>
  <w:style w:type="paragraph" w:styleId="Style52">
    <w:name w:val="List"/>
    <w:basedOn w:val="Normal"/>
    <w:link w:val="afe"/>
    <w:rsid w:val="00ea4301"/>
    <w:pPr>
      <w:spacing w:lineRule="auto" w:line="240" w:before="0" w:after="60"/>
      <w:jc w:val="both"/>
    </w:pPr>
    <w:rPr>
      <w:rFonts w:ascii="Times New Roman" w:hAnsi="Times New Roman" w:cs="Courier New"/>
      <w:sz w:val="24"/>
      <w:szCs w:val="24"/>
      <w:lang w:eastAsia="ru-RU"/>
    </w:rPr>
  </w:style>
  <w:style w:type="paragraph" w:styleId="Style53">
    <w:name w:val="Caption"/>
    <w:basedOn w:val="Normal"/>
    <w:qFormat/>
    <w:pPr>
      <w:suppressLineNumbers/>
      <w:spacing w:before="120" w:after="120"/>
    </w:pPr>
    <w:rPr>
      <w:rFonts w:cs="Mangal"/>
      <w:i/>
      <w:iCs/>
      <w:sz w:val="24"/>
      <w:szCs w:val="24"/>
    </w:rPr>
  </w:style>
  <w:style w:type="paragraph" w:styleId="Style54">
    <w:name w:val="Указатель"/>
    <w:basedOn w:val="Normal"/>
    <w:qFormat/>
    <w:pPr>
      <w:suppressLineNumbers/>
    </w:pPr>
    <w:rPr>
      <w:rFonts w:cs="Mangal"/>
    </w:rPr>
  </w:style>
  <w:style w:type="paragraph" w:styleId="Default" w:customStyle="1">
    <w:name w:val="Default"/>
    <w:qFormat/>
    <w:rsid w:val="006e5be5"/>
    <w:pPr>
      <w:widowControl/>
      <w:bidi w:val="0"/>
      <w:spacing w:lineRule="auto" w:line="240" w:before="0" w:after="0"/>
      <w:jc w:val="left"/>
    </w:pPr>
    <w:rPr>
      <w:rFonts w:ascii="Times New Roman" w:hAnsi="Times New Roman" w:eastAsia="Calibri" w:cs="Times New Roman"/>
      <w:color w:val="000000"/>
      <w:sz w:val="24"/>
      <w:szCs w:val="24"/>
      <w:lang w:val="ru-RU" w:eastAsia="en-US" w:bidi="ar-SA"/>
    </w:rPr>
  </w:style>
  <w:style w:type="paragraph" w:styleId="ListParagraph">
    <w:name w:val="List Paragraph"/>
    <w:basedOn w:val="Normal"/>
    <w:link w:val="ae"/>
    <w:uiPriority w:val="34"/>
    <w:qFormat/>
    <w:rsid w:val="0044322e"/>
    <w:pPr>
      <w:spacing w:before="0" w:after="160"/>
      <w:ind w:left="720" w:hanging="0"/>
      <w:contextualSpacing/>
    </w:pPr>
    <w:rPr/>
  </w:style>
  <w:style w:type="paragraph" w:styleId="TOCHeading">
    <w:name w:val="TOC Heading"/>
    <w:basedOn w:val="1"/>
    <w:uiPriority w:val="39"/>
    <w:unhideWhenUsed/>
    <w:qFormat/>
    <w:rsid w:val="009e5697"/>
    <w:pPr/>
    <w:rPr>
      <w:lang w:eastAsia="ru-RU"/>
    </w:rPr>
  </w:style>
  <w:style w:type="paragraph" w:styleId="15">
    <w:name w:val="TOC 1"/>
    <w:basedOn w:val="Normal"/>
    <w:autoRedefine/>
    <w:uiPriority w:val="39"/>
    <w:unhideWhenUsed/>
    <w:qFormat/>
    <w:rsid w:val="0054234c"/>
    <w:pPr>
      <w:spacing w:before="0" w:after="100"/>
    </w:pPr>
    <w:rPr/>
  </w:style>
  <w:style w:type="paragraph" w:styleId="213">
    <w:name w:val="TOC 2"/>
    <w:basedOn w:val="Normal"/>
    <w:link w:val="23"/>
    <w:autoRedefine/>
    <w:uiPriority w:val="39"/>
    <w:unhideWhenUsed/>
    <w:qFormat/>
    <w:rsid w:val="00c7480f"/>
    <w:pPr>
      <w:spacing w:before="0" w:after="100"/>
      <w:ind w:left="220" w:hanging="0"/>
    </w:pPr>
    <w:rPr/>
  </w:style>
  <w:style w:type="paragraph" w:styleId="S31" w:customStyle="1">
    <w:name w:val="S_Заголовок 3"/>
    <w:basedOn w:val="Normal"/>
    <w:qFormat/>
    <w:rsid w:val="003e2a5b"/>
    <w:pPr>
      <w:spacing w:lineRule="auto" w:line="360" w:before="0" w:after="0"/>
    </w:pPr>
    <w:rPr>
      <w:rFonts w:ascii="Times New Roman" w:hAnsi="Times New Roman" w:eastAsia="Times New Roman" w:cs="Courier New"/>
      <w:b/>
      <w:bCs/>
      <w:color w:val="000000"/>
      <w:sz w:val="24"/>
      <w:szCs w:val="24"/>
      <w:lang w:eastAsia="ru-RU"/>
    </w:rPr>
  </w:style>
  <w:style w:type="paragraph" w:styleId="NormalWeb">
    <w:name w:val="Normal (Web)"/>
    <w:basedOn w:val="Normal"/>
    <w:uiPriority w:val="99"/>
    <w:unhideWhenUsed/>
    <w:qFormat/>
    <w:rsid w:val="003e2a5b"/>
    <w:pPr/>
    <w:rPr>
      <w:rFonts w:ascii="Times New Roman" w:hAnsi="Times New Roman" w:cs="Times New Roman"/>
      <w:sz w:val="24"/>
      <w:szCs w:val="24"/>
    </w:rPr>
  </w:style>
  <w:style w:type="paragraph" w:styleId="S11" w:customStyle="1">
    <w:name w:val="S_Заголовок 1"/>
    <w:basedOn w:val="Normal"/>
    <w:qFormat/>
    <w:rsid w:val="00ea4301"/>
    <w:pPr>
      <w:spacing w:lineRule="auto" w:line="360" w:before="0" w:after="60"/>
    </w:pPr>
    <w:rPr>
      <w:rFonts w:ascii="Times New Roman Полужирный" w:hAnsi="Times New Roman Полужирный" w:eastAsia="Times New Roman" w:cs="Times New Roman"/>
      <w:b/>
      <w:caps/>
      <w:sz w:val="28"/>
      <w:szCs w:val="24"/>
      <w:lang w:eastAsia="ru-RU"/>
    </w:rPr>
  </w:style>
  <w:style w:type="paragraph" w:styleId="S21" w:customStyle="1">
    <w:name w:val="S_Заголовок 2"/>
    <w:basedOn w:val="Normal"/>
    <w:autoRedefine/>
    <w:qFormat/>
    <w:rsid w:val="00ea4301"/>
    <w:pPr>
      <w:spacing w:lineRule="auto" w:line="360" w:before="0" w:after="60"/>
    </w:pPr>
    <w:rPr>
      <w:rFonts w:ascii="Times New Roman" w:hAnsi="Times New Roman" w:eastAsia="Times New Roman" w:cs="Courier New"/>
      <w:b/>
      <w:bCs/>
      <w:color w:val="000000"/>
      <w:sz w:val="24"/>
      <w:szCs w:val="24"/>
      <w:lang w:eastAsia="ru-RU"/>
    </w:rPr>
  </w:style>
  <w:style w:type="paragraph" w:styleId="36" w:customStyle="1">
    <w:name w:val="Стиль3"/>
    <w:basedOn w:val="S31"/>
    <w:qFormat/>
    <w:rsid w:val="00ea4301"/>
    <w:pPr/>
    <w:rPr/>
  </w:style>
  <w:style w:type="paragraph" w:styleId="Bodytext71" w:customStyle="1">
    <w:name w:val="Body text (7)"/>
    <w:basedOn w:val="Normal"/>
    <w:link w:val="Bodytext70"/>
    <w:qFormat/>
    <w:rsid w:val="00ea4301"/>
    <w:pPr>
      <w:shd w:val="clear" w:color="auto" w:fill="FFFFFF"/>
      <w:spacing w:lineRule="atLeast" w:line="240" w:before="0" w:after="0"/>
    </w:pPr>
    <w:rPr>
      <w:rFonts w:ascii="Consolas" w:hAnsi="Consolas"/>
      <w:i/>
      <w:spacing w:val="-10"/>
      <w:sz w:val="26"/>
    </w:rPr>
  </w:style>
  <w:style w:type="paragraph" w:styleId="Counter" w:customStyle="1">
    <w:name w:val="counter"/>
    <w:basedOn w:val="Normal"/>
    <w:qFormat/>
    <w:rsid w:val="00ea4301"/>
    <w:pPr>
      <w:spacing w:lineRule="auto" w:line="240" w:beforeAutospacing="1" w:afterAutospacing="1"/>
    </w:pPr>
    <w:rPr>
      <w:rFonts w:ascii="Times New Roman" w:hAnsi="Times New Roman" w:eastAsia="Times New Roman" w:cs="Times New Roman"/>
      <w:vanish/>
      <w:sz w:val="24"/>
      <w:szCs w:val="24"/>
      <w:lang w:eastAsia="ru-RU"/>
    </w:rPr>
  </w:style>
  <w:style w:type="paragraph" w:styleId="Formattext" w:customStyle="1">
    <w:name w:val="formattext"/>
    <w:basedOn w:val="Normal"/>
    <w:qFormat/>
    <w:rsid w:val="00ea4301"/>
    <w:pPr>
      <w:spacing w:lineRule="auto" w:line="240" w:beforeAutospacing="1" w:afterAutospacing="1"/>
    </w:pPr>
    <w:rPr>
      <w:rFonts w:ascii="Times New Roman" w:hAnsi="Times New Roman" w:eastAsia="Times New Roman" w:cs="Times New Roman"/>
      <w:sz w:val="24"/>
      <w:szCs w:val="24"/>
      <w:lang w:eastAsia="ru-RU"/>
    </w:rPr>
  </w:style>
  <w:style w:type="paragraph" w:styleId="ConsPlusNormal1" w:customStyle="1">
    <w:name w:val="ConsPlusNormal"/>
    <w:link w:val="ConsPlusNormal0"/>
    <w:qFormat/>
    <w:rsid w:val="00ea4301"/>
    <w:pPr>
      <w:widowControl w:val="false"/>
      <w:bidi w:val="0"/>
      <w:spacing w:lineRule="auto" w:line="240" w:before="0" w:after="0"/>
      <w:jc w:val="left"/>
    </w:pPr>
    <w:rPr>
      <w:rFonts w:ascii="Arial" w:hAnsi="Arial" w:eastAsia="Times New Roman" w:cs="Arial"/>
      <w:color w:val="00000A"/>
      <w:sz w:val="20"/>
      <w:szCs w:val="20"/>
      <w:lang w:val="ru-RU" w:eastAsia="ru-RU" w:bidi="ar-SA"/>
    </w:rPr>
  </w:style>
  <w:style w:type="paragraph" w:styleId="Style55" w:customStyle="1">
    <w:name w:val="Отступ перед"/>
    <w:basedOn w:val="Normal"/>
    <w:qFormat/>
    <w:rsid w:val="00ea4301"/>
    <w:pPr>
      <w:widowControl w:val="false"/>
      <w:shd w:val="clear" w:color="auto" w:fill="FFFFFF"/>
      <w:spacing w:lineRule="auto" w:line="240" w:before="120" w:after="0"/>
      <w:ind w:firstLine="284"/>
      <w:jc w:val="both"/>
    </w:pPr>
    <w:rPr>
      <w:rFonts w:ascii="Times New Roman" w:hAnsi="Times New Roman" w:eastAsia="Times New Roman" w:cs="Times New Roman"/>
      <w:sz w:val="24"/>
      <w:lang w:eastAsia="ru-RU"/>
    </w:rPr>
  </w:style>
  <w:style w:type="paragraph" w:styleId="Style56" w:customStyle="1">
    <w:name w:val="Примечание"/>
    <w:basedOn w:val="Normal"/>
    <w:qFormat/>
    <w:rsid w:val="00ea4301"/>
    <w:pPr>
      <w:widowControl w:val="false"/>
      <w:shd w:val="clear" w:color="auto" w:fill="FFFFFF"/>
      <w:spacing w:lineRule="auto" w:line="240" w:before="120" w:after="120"/>
      <w:ind w:firstLine="284"/>
      <w:jc w:val="both"/>
    </w:pPr>
    <w:rPr>
      <w:rFonts w:ascii="Times New Roman" w:hAnsi="Times New Roman" w:eastAsia="Times New Roman" w:cs="Times New Roman"/>
      <w:sz w:val="20"/>
      <w:szCs w:val="20"/>
      <w:lang w:eastAsia="ru-RU"/>
    </w:rPr>
  </w:style>
  <w:style w:type="paragraph" w:styleId="Style57" w:customStyle="1">
    <w:name w:val="Абзац"/>
    <w:basedOn w:val="Normal"/>
    <w:link w:val="af6"/>
    <w:qFormat/>
    <w:rsid w:val="00ea4301"/>
    <w:pPr>
      <w:spacing w:lineRule="auto" w:line="240" w:before="120" w:after="60"/>
      <w:ind w:firstLine="567"/>
      <w:jc w:val="both"/>
    </w:pPr>
    <w:rPr>
      <w:rFonts w:ascii="Times New Roman" w:hAnsi="Times New Roman" w:eastAsia="Times New Roman" w:cs="Times New Roman"/>
      <w:sz w:val="24"/>
      <w:szCs w:val="24"/>
      <w:lang w:eastAsia="ru-RU"/>
    </w:rPr>
  </w:style>
  <w:style w:type="paragraph" w:styleId="Style58" w:customStyle="1">
    <w:name w:val="Список нумерованный"/>
    <w:basedOn w:val="Normal"/>
    <w:qFormat/>
    <w:rsid w:val="00ea4301"/>
    <w:pPr>
      <w:spacing w:lineRule="auto" w:line="240" w:before="120" w:after="0"/>
      <w:jc w:val="both"/>
    </w:pPr>
    <w:rPr>
      <w:rFonts w:ascii="Times New Roman" w:hAnsi="Times New Roman" w:eastAsia="Times New Roman" w:cs="Times New Roman"/>
      <w:sz w:val="24"/>
      <w:szCs w:val="24"/>
      <w:lang w:eastAsia="ru-RU"/>
    </w:rPr>
  </w:style>
  <w:style w:type="paragraph" w:styleId="Style59" w:customStyle="1">
    <w:name w:val="Табличный"/>
    <w:basedOn w:val="Normal"/>
    <w:qFormat/>
    <w:rsid w:val="00ea4301"/>
    <w:pPr>
      <w:keepNext/>
      <w:widowControl w:val="false"/>
      <w:spacing w:lineRule="auto" w:line="240" w:before="60" w:after="60"/>
      <w:jc w:val="center"/>
    </w:pPr>
    <w:rPr>
      <w:rFonts w:ascii="Times New Roman" w:hAnsi="Times New Roman" w:eastAsia="Times New Roman" w:cs="Times New Roman"/>
      <w:b/>
      <w:szCs w:val="20"/>
      <w:lang w:eastAsia="ru-RU"/>
    </w:rPr>
  </w:style>
  <w:style w:type="paragraph" w:styleId="Style60" w:customStyle="1">
    <w:name w:val="Содержание"/>
    <w:basedOn w:val="Normal"/>
    <w:qFormat/>
    <w:rsid w:val="00ea4301"/>
    <w:pPr>
      <w:widowControl w:val="false"/>
      <w:spacing w:lineRule="auto" w:line="240" w:before="240" w:after="240"/>
      <w:jc w:val="center"/>
    </w:pPr>
    <w:rPr>
      <w:rFonts w:ascii="Times New Roman" w:hAnsi="Times New Roman" w:eastAsia="Times New Roman" w:cs="Times New Roman"/>
      <w:b/>
      <w:caps/>
      <w:sz w:val="24"/>
      <w:szCs w:val="20"/>
      <w:lang w:eastAsia="ru-RU"/>
    </w:rPr>
  </w:style>
  <w:style w:type="paragraph" w:styleId="Style61" w:customStyle="1">
    <w:name w:val="Название таблицы"/>
    <w:basedOn w:val="Caption"/>
    <w:qFormat/>
    <w:rsid w:val="00ea4301"/>
    <w:pPr>
      <w:keepNext/>
      <w:spacing w:before="0" w:after="0"/>
      <w:jc w:val="left"/>
    </w:pPr>
    <w:rPr>
      <w:rFonts w:eastAsia="Times New Roman" w:cs="Times New Roman"/>
      <w:szCs w:val="22"/>
    </w:rPr>
  </w:style>
  <w:style w:type="paragraph" w:styleId="Caption">
    <w:name w:val="caption"/>
    <w:basedOn w:val="Normal"/>
    <w:qFormat/>
    <w:rsid w:val="00ea4301"/>
    <w:pPr>
      <w:spacing w:lineRule="auto" w:line="240" w:before="120" w:after="120"/>
      <w:jc w:val="center"/>
    </w:pPr>
    <w:rPr>
      <w:rFonts w:ascii="Times New Roman" w:hAnsi="Times New Roman" w:cs="Courier New"/>
      <w:b/>
      <w:bCs/>
      <w:szCs w:val="20"/>
      <w:lang w:eastAsia="ru-RU"/>
    </w:rPr>
  </w:style>
  <w:style w:type="paragraph" w:styleId="Style62" w:customStyle="1">
    <w:name w:val="Табличный_заголовки"/>
    <w:basedOn w:val="Normal"/>
    <w:qFormat/>
    <w:rsid w:val="00ea4301"/>
    <w:pPr>
      <w:keepNext/>
      <w:keepLines/>
      <w:spacing w:lineRule="auto" w:line="240" w:before="0" w:after="0"/>
      <w:jc w:val="center"/>
    </w:pPr>
    <w:rPr>
      <w:rFonts w:ascii="Times New Roman" w:hAnsi="Times New Roman" w:eastAsia="Times New Roman" w:cs="Times New Roman"/>
      <w:b/>
      <w:lang w:eastAsia="ru-RU"/>
    </w:rPr>
  </w:style>
  <w:style w:type="paragraph" w:styleId="Style63" w:customStyle="1">
    <w:name w:val="Табличный_центр"/>
    <w:basedOn w:val="Normal"/>
    <w:qFormat/>
    <w:rsid w:val="00ea4301"/>
    <w:pPr>
      <w:spacing w:lineRule="auto" w:line="240" w:before="0" w:after="0"/>
      <w:jc w:val="center"/>
    </w:pPr>
    <w:rPr>
      <w:rFonts w:ascii="Times New Roman" w:hAnsi="Times New Roman" w:eastAsia="Times New Roman" w:cs="Times New Roman"/>
      <w:lang w:eastAsia="ru-RU"/>
    </w:rPr>
  </w:style>
  <w:style w:type="paragraph" w:styleId="16" w:customStyle="1">
    <w:name w:val="Список 1)"/>
    <w:basedOn w:val="Normal"/>
    <w:qFormat/>
    <w:rsid w:val="00ea4301"/>
    <w:pPr>
      <w:spacing w:lineRule="auto" w:line="240" w:before="0" w:after="60"/>
      <w:jc w:val="both"/>
    </w:pPr>
    <w:rPr>
      <w:rFonts w:ascii="Times New Roman" w:hAnsi="Times New Roman" w:eastAsia="Times New Roman" w:cs="Times New Roman"/>
      <w:sz w:val="24"/>
      <w:szCs w:val="24"/>
      <w:lang w:eastAsia="ru-RU"/>
    </w:rPr>
  </w:style>
  <w:style w:type="paragraph" w:styleId="Style64" w:customStyle="1">
    <w:name w:val="Табличный_нумерованный"/>
    <w:basedOn w:val="Normal"/>
    <w:link w:val="afd"/>
    <w:qFormat/>
    <w:rsid w:val="00ea4301"/>
    <w:pPr>
      <w:spacing w:lineRule="auto" w:line="240" w:before="0" w:after="0"/>
    </w:pPr>
    <w:rPr>
      <w:rFonts w:ascii="Times New Roman" w:hAnsi="Times New Roman" w:eastAsia="Times New Roman" w:cs="Times New Roman"/>
      <w:lang w:eastAsia="ru-RU"/>
    </w:rPr>
  </w:style>
  <w:style w:type="paragraph" w:styleId="Style65" w:customStyle="1">
    <w:name w:val="Требования"/>
    <w:basedOn w:val="Normal"/>
    <w:qFormat/>
    <w:rsid w:val="00ea4301"/>
    <w:pPr>
      <w:spacing w:lineRule="auto" w:line="240" w:before="120" w:after="60"/>
      <w:jc w:val="both"/>
      <w:outlineLvl w:val="1"/>
    </w:pPr>
    <w:rPr>
      <w:rFonts w:ascii="Times New Roman" w:hAnsi="Times New Roman" w:eastAsia="Times New Roman" w:cs="Times New Roman"/>
      <w:bCs/>
      <w:i/>
      <w:iCs/>
      <w:sz w:val="24"/>
      <w:szCs w:val="24"/>
      <w:lang w:eastAsia="ru-RU"/>
    </w:rPr>
  </w:style>
  <w:style w:type="paragraph" w:styleId="Style66" w:customStyle="1">
    <w:name w:val="Список а)"/>
    <w:basedOn w:val="Style52"/>
    <w:qFormat/>
    <w:rsid w:val="00ea4301"/>
    <w:pPr>
      <w:ind w:left="0" w:firstLine="567"/>
    </w:pPr>
    <w:rPr>
      <w:rFonts w:eastAsia="Times New Roman" w:cs="Times New Roman"/>
    </w:rPr>
  </w:style>
  <w:style w:type="paragraph" w:styleId="Style67" w:customStyle="1">
    <w:name w:val="Табличный_слева"/>
    <w:basedOn w:val="Normal"/>
    <w:qFormat/>
    <w:rsid w:val="00ea4301"/>
    <w:pPr>
      <w:spacing w:lineRule="auto" w:line="240" w:before="0" w:after="0"/>
    </w:pPr>
    <w:rPr>
      <w:rFonts w:ascii="Times New Roman" w:hAnsi="Times New Roman" w:eastAsia="Times New Roman" w:cs="Times New Roman"/>
      <w:lang w:eastAsia="ru-RU"/>
    </w:rPr>
  </w:style>
  <w:style w:type="paragraph" w:styleId="17" w:customStyle="1">
    <w:name w:val="Обычный 1"/>
    <w:basedOn w:val="Normal"/>
    <w:semiHidden/>
    <w:qFormat/>
    <w:rsid w:val="00ea4301"/>
    <w:pPr>
      <w:tabs>
        <w:tab w:val="left" w:pos="360" w:leader="none"/>
      </w:tabs>
      <w:spacing w:lineRule="auto" w:line="240" w:before="120" w:after="0"/>
      <w:ind w:left="360" w:hanging="360"/>
      <w:jc w:val="both"/>
    </w:pPr>
    <w:rPr>
      <w:rFonts w:ascii="Times New Roman" w:hAnsi="Times New Roman" w:eastAsia="Times New Roman" w:cs="Times New Roman"/>
      <w:sz w:val="24"/>
      <w:szCs w:val="20"/>
      <w:lang w:eastAsia="ru-RU"/>
    </w:rPr>
  </w:style>
  <w:style w:type="paragraph" w:styleId="Style68" w:customStyle="1">
    <w:name w:val="Обычный влево"/>
    <w:basedOn w:val="17"/>
    <w:qFormat/>
    <w:rsid w:val="00ea4301"/>
    <w:pPr>
      <w:spacing w:before="0" w:after="0"/>
      <w:ind w:left="0" w:hanging="0"/>
      <w:jc w:val="left"/>
    </w:pPr>
    <w:rPr/>
  </w:style>
  <w:style w:type="paragraph" w:styleId="Style69" w:customStyle="1">
    <w:name w:val="Табличный_по ширине"/>
    <w:basedOn w:val="Style67"/>
    <w:qFormat/>
    <w:rsid w:val="00ea4301"/>
    <w:pPr>
      <w:jc w:val="both"/>
    </w:pPr>
    <w:rPr/>
  </w:style>
  <w:style w:type="paragraph" w:styleId="10" w:customStyle="1">
    <w:name w:val="Табличный_центр_10"/>
    <w:basedOn w:val="Normal"/>
    <w:qFormat/>
    <w:rsid w:val="00ea4301"/>
    <w:pPr>
      <w:spacing w:lineRule="auto" w:line="240" w:before="0" w:after="0"/>
      <w:jc w:val="center"/>
    </w:pPr>
    <w:rPr>
      <w:rFonts w:ascii="Times New Roman" w:hAnsi="Times New Roman" w:eastAsia="Times New Roman" w:cs="Times New Roman"/>
      <w:sz w:val="20"/>
      <w:szCs w:val="24"/>
      <w:lang w:eastAsia="ru-RU"/>
    </w:rPr>
  </w:style>
  <w:style w:type="paragraph" w:styleId="101" w:customStyle="1">
    <w:name w:val="Табличный_слева_10"/>
    <w:basedOn w:val="Normal"/>
    <w:qFormat/>
    <w:rsid w:val="00ea4301"/>
    <w:pPr>
      <w:spacing w:lineRule="auto" w:line="240" w:before="0" w:after="0"/>
    </w:pPr>
    <w:rPr>
      <w:rFonts w:ascii="Times New Roman" w:hAnsi="Times New Roman" w:eastAsia="Times New Roman" w:cs="Times New Roman"/>
      <w:sz w:val="20"/>
      <w:szCs w:val="24"/>
      <w:lang w:eastAsia="ru-RU"/>
    </w:rPr>
  </w:style>
  <w:style w:type="paragraph" w:styleId="102" w:customStyle="1">
    <w:name w:val="Табличный_по ширине_10"/>
    <w:basedOn w:val="Normal"/>
    <w:qFormat/>
    <w:rsid w:val="00ea4301"/>
    <w:pPr>
      <w:spacing w:lineRule="auto" w:line="240" w:before="0" w:after="0"/>
      <w:jc w:val="both"/>
    </w:pPr>
    <w:rPr>
      <w:rFonts w:ascii="Times New Roman" w:hAnsi="Times New Roman" w:eastAsia="Times New Roman" w:cs="Times New Roman"/>
      <w:sz w:val="20"/>
      <w:szCs w:val="24"/>
      <w:lang w:eastAsia="ru-RU"/>
    </w:rPr>
  </w:style>
  <w:style w:type="paragraph" w:styleId="103" w:customStyle="1">
    <w:name w:val="Табличный_нумерованный_10"/>
    <w:basedOn w:val="Normal"/>
    <w:qFormat/>
    <w:rsid w:val="00ea4301"/>
    <w:pPr>
      <w:spacing w:lineRule="auto" w:line="240" w:before="0" w:after="0"/>
    </w:pPr>
    <w:rPr>
      <w:rFonts w:ascii="Times New Roman" w:hAnsi="Times New Roman" w:eastAsia="Times New Roman" w:cs="Times New Roman"/>
      <w:sz w:val="20"/>
      <w:szCs w:val="24"/>
      <w:lang w:eastAsia="ru-RU"/>
    </w:rPr>
  </w:style>
  <w:style w:type="paragraph" w:styleId="104" w:customStyle="1">
    <w:name w:val="Табличный_заголовки_10"/>
    <w:basedOn w:val="Style57"/>
    <w:qFormat/>
    <w:rsid w:val="00ea4301"/>
    <w:pPr>
      <w:jc w:val="center"/>
    </w:pPr>
    <w:rPr>
      <w:b/>
      <w:sz w:val="20"/>
    </w:rPr>
  </w:style>
  <w:style w:type="paragraph" w:styleId="Style70" w:customStyle="1">
    <w:name w:val="Îáû÷íûé"/>
    <w:qFormat/>
    <w:rsid w:val="00ea4301"/>
    <w:pPr>
      <w:widowControl/>
      <w:bidi w:val="0"/>
      <w:spacing w:lineRule="auto" w:line="240" w:before="0" w:after="0"/>
      <w:jc w:val="left"/>
    </w:pPr>
    <w:rPr>
      <w:rFonts w:ascii="Times New Roman" w:hAnsi="Times New Roman" w:eastAsia="Times New Roman" w:cs="Times New Roman"/>
      <w:color w:val="00000A"/>
      <w:sz w:val="28"/>
      <w:szCs w:val="20"/>
      <w:lang w:val="ru-RU" w:eastAsia="ru-RU" w:bidi="ar-SA"/>
    </w:rPr>
  </w:style>
  <w:style w:type="paragraph" w:styleId="S5" w:customStyle="1">
    <w:name w:val="S_Обычный"/>
    <w:basedOn w:val="Normal"/>
    <w:link w:val="S6"/>
    <w:qFormat/>
    <w:rsid w:val="00ea4301"/>
    <w:pPr>
      <w:spacing w:lineRule="auto" w:line="240" w:before="120" w:after="60"/>
      <w:ind w:firstLine="567"/>
      <w:jc w:val="both"/>
    </w:pPr>
    <w:rPr>
      <w:rFonts w:ascii="Times New Roman" w:hAnsi="Times New Roman" w:eastAsia="Times New Roman" w:cs="Times New Roman"/>
      <w:sz w:val="24"/>
      <w:szCs w:val="24"/>
      <w:lang w:eastAsia="ar-SA"/>
    </w:rPr>
  </w:style>
  <w:style w:type="paragraph" w:styleId="S6" w:customStyle="1">
    <w:name w:val="S_Титульный"/>
    <w:basedOn w:val="Normal"/>
    <w:qFormat/>
    <w:rsid w:val="00ea4301"/>
    <w:pPr>
      <w:spacing w:lineRule="auto" w:line="360" w:before="0" w:after="0"/>
      <w:ind w:left="3240" w:hanging="0"/>
      <w:jc w:val="right"/>
    </w:pPr>
    <w:rPr>
      <w:rFonts w:ascii="Times New Roman" w:hAnsi="Times New Roman" w:eastAsia="Times New Roman" w:cs="Times New Roman"/>
      <w:b/>
      <w:sz w:val="32"/>
      <w:szCs w:val="32"/>
      <w:lang w:eastAsia="ru-RU"/>
    </w:rPr>
  </w:style>
  <w:style w:type="paragraph" w:styleId="Style71" w:customStyle="1">
    <w:name w:val="ТЕКСТ ГРАД"/>
    <w:basedOn w:val="Normal"/>
    <w:link w:val="aff4"/>
    <w:qFormat/>
    <w:rsid w:val="00ea4301"/>
    <w:pPr>
      <w:spacing w:lineRule="auto" w:line="360" w:before="0" w:after="0"/>
      <w:ind w:firstLine="709"/>
      <w:jc w:val="both"/>
    </w:pPr>
    <w:rPr>
      <w:rFonts w:ascii="Times New Roman" w:hAnsi="Times New Roman" w:eastAsia="Times New Roman" w:cs="Times New Roman"/>
      <w:sz w:val="24"/>
      <w:szCs w:val="24"/>
      <w:lang w:eastAsia="ru-RU"/>
    </w:rPr>
  </w:style>
  <w:style w:type="paragraph" w:styleId="Style72" w:customStyle="1">
    <w:name w:val="ООО  «Институт Территориального Планирования"/>
    <w:basedOn w:val="Normal"/>
    <w:link w:val="aff6"/>
    <w:qFormat/>
    <w:rsid w:val="00ea4301"/>
    <w:pPr>
      <w:spacing w:lineRule="auto" w:line="360" w:before="0" w:after="0"/>
      <w:ind w:left="709" w:hanging="0"/>
      <w:jc w:val="right"/>
    </w:pPr>
    <w:rPr>
      <w:rFonts w:ascii="Times New Roman" w:hAnsi="Times New Roman" w:eastAsia="Times New Roman" w:cs="Times New Roman"/>
      <w:sz w:val="24"/>
      <w:szCs w:val="24"/>
      <w:lang w:eastAsia="ru-RU"/>
    </w:rPr>
  </w:style>
  <w:style w:type="paragraph" w:styleId="S7" w:customStyle="1">
    <w:name w:val="S_Обычный в таблице"/>
    <w:basedOn w:val="Normal"/>
    <w:link w:val="S9"/>
    <w:qFormat/>
    <w:rsid w:val="00ea4301"/>
    <w:pPr>
      <w:spacing w:lineRule="auto" w:line="360" w:before="0" w:after="0"/>
      <w:jc w:val="center"/>
    </w:pPr>
    <w:rPr>
      <w:rFonts w:ascii="Times New Roman" w:hAnsi="Times New Roman" w:eastAsia="Times New Roman" w:cs="Times New Roman"/>
      <w:sz w:val="24"/>
      <w:szCs w:val="24"/>
      <w:lang w:eastAsia="ru-RU"/>
    </w:rPr>
  </w:style>
  <w:style w:type="paragraph" w:styleId="S8" w:customStyle="1">
    <w:name w:val="S_Обложка_проект"/>
    <w:basedOn w:val="Normal"/>
    <w:qFormat/>
    <w:rsid w:val="00ea4301"/>
    <w:pPr>
      <w:spacing w:lineRule="auto" w:line="360" w:before="0" w:after="0"/>
      <w:ind w:left="3240" w:hanging="0"/>
      <w:jc w:val="right"/>
    </w:pPr>
    <w:rPr>
      <w:rFonts w:ascii="Times New Roman" w:hAnsi="Times New Roman" w:eastAsia="Times New Roman" w:cs="Times New Roman"/>
      <w:caps/>
      <w:sz w:val="24"/>
      <w:szCs w:val="24"/>
      <w:lang w:eastAsia="ru-RU"/>
    </w:rPr>
  </w:style>
  <w:style w:type="paragraph" w:styleId="S22" w:customStyle="1">
    <w:name w:val="S_Титульный 2"/>
    <w:basedOn w:val="Normal"/>
    <w:qFormat/>
    <w:rsid w:val="00ea4301"/>
    <w:pPr>
      <w:shd w:val="clear" w:color="auto" w:fill="FFFFFF"/>
      <w:snapToGrid w:val="false"/>
      <w:spacing w:lineRule="auto" w:line="240" w:before="0" w:after="0"/>
      <w:jc w:val="center"/>
    </w:pPr>
    <w:rPr>
      <w:rFonts w:ascii="Times New Roman" w:hAnsi="Times New Roman" w:eastAsia="Calibri" w:cs="Times New Roman"/>
      <w:sz w:val="24"/>
      <w:szCs w:val="24"/>
      <w:lang w:eastAsia="ar-SA"/>
    </w:rPr>
  </w:style>
  <w:style w:type="paragraph" w:styleId="S41" w:customStyle="1">
    <w:name w:val="S_Заголовок 4"/>
    <w:basedOn w:val="4"/>
    <w:link w:val="S40"/>
    <w:qFormat/>
    <w:rsid w:val="00ea4301"/>
    <w:pPr>
      <w:keepNext/>
      <w:keepLines w:val="false"/>
      <w:spacing w:lineRule="auto" w:line="240" w:before="0" w:after="0"/>
    </w:pPr>
    <w:rPr>
      <w:rFonts w:ascii="Times New Roman" w:hAnsi="Times New Roman" w:eastAsia="Times New Roman" w:cs="Times New Roman"/>
      <w:iCs w:val="false"/>
      <w:color w:val="00000A"/>
      <w:sz w:val="24"/>
      <w:szCs w:val="24"/>
      <w:lang w:eastAsia="ru-RU"/>
    </w:rPr>
  </w:style>
  <w:style w:type="paragraph" w:styleId="Style73" w:customStyle="1">
    <w:name w:val="ГРАД Основной текст"/>
    <w:basedOn w:val="Normal"/>
    <w:link w:val="aff8"/>
    <w:autoRedefine/>
    <w:qFormat/>
    <w:rsid w:val="00ea4301"/>
    <w:pPr>
      <w:tabs>
        <w:tab w:val="left" w:pos="540" w:leader="none"/>
        <w:tab w:val="left" w:pos="1260" w:leader="none"/>
        <w:tab w:val="left" w:pos="1620" w:leader="none"/>
      </w:tabs>
      <w:spacing w:lineRule="auto" w:line="240" w:before="0" w:after="0"/>
      <w:ind w:firstLine="709"/>
      <w:jc w:val="both"/>
    </w:pPr>
    <w:rPr>
      <w:rFonts w:ascii="Times New Roman" w:hAnsi="Times New Roman" w:eastAsia="Calibri" w:cs="Times New Roman"/>
      <w:bCs/>
      <w:spacing w:val="4"/>
      <w:w w:val="109"/>
      <w:sz w:val="24"/>
      <w:szCs w:val="28"/>
      <w:lang w:bidi="en-US"/>
    </w:rPr>
  </w:style>
  <w:style w:type="paragraph" w:styleId="Style74" w:customStyle="1">
    <w:name w:val="ГРАД Список маркированный"/>
    <w:basedOn w:val="ListBullet"/>
    <w:autoRedefine/>
    <w:qFormat/>
    <w:rsid w:val="00ea4301"/>
    <w:pPr>
      <w:tabs>
        <w:tab w:val="left" w:pos="900" w:leader="none"/>
        <w:tab w:val="left" w:pos="1135" w:leader="none"/>
      </w:tabs>
      <w:spacing w:lineRule="auto" w:line="240" w:before="0" w:after="0"/>
      <w:ind w:left="0" w:firstLine="709"/>
    </w:pPr>
    <w:rPr>
      <w:rFonts w:eastAsia="Calibri" w:cs="Times New Roman"/>
      <w:spacing w:val="-1"/>
      <w:w w:val="109"/>
      <w:lang w:eastAsia="en-US" w:bidi="en-US"/>
    </w:rPr>
  </w:style>
  <w:style w:type="paragraph" w:styleId="ListBullet">
    <w:name w:val="List Bullet"/>
    <w:basedOn w:val="Normal"/>
    <w:unhideWhenUsed/>
    <w:qFormat/>
    <w:rsid w:val="00ea4301"/>
    <w:pPr>
      <w:spacing w:lineRule="auto" w:line="360" w:before="0" w:after="0"/>
      <w:ind w:left="1571" w:hanging="360"/>
      <w:contextualSpacing/>
      <w:jc w:val="both"/>
    </w:pPr>
    <w:rPr>
      <w:rFonts w:ascii="Times New Roman" w:hAnsi="Times New Roman" w:cs="Courier New"/>
      <w:sz w:val="24"/>
      <w:szCs w:val="24"/>
      <w:lang w:eastAsia="ru-RU"/>
    </w:rPr>
  </w:style>
  <w:style w:type="paragraph" w:styleId="S9" w:customStyle="1">
    <w:name w:val="S_Нумерованный"/>
    <w:basedOn w:val="Normal"/>
    <w:link w:val="Sb"/>
    <w:autoRedefine/>
    <w:qFormat/>
    <w:rsid w:val="00ea4301"/>
    <w:pPr>
      <w:tabs>
        <w:tab w:val="left" w:pos="992" w:leader="none"/>
      </w:tabs>
      <w:spacing w:lineRule="auto" w:line="360" w:before="0" w:after="0"/>
      <w:jc w:val="both"/>
    </w:pPr>
    <w:rPr>
      <w:rFonts w:ascii="Times New Roman" w:hAnsi="Times New Roman" w:eastAsia="Times New Roman" w:cs="Times New Roman"/>
      <w:sz w:val="24"/>
      <w:szCs w:val="24"/>
      <w:lang w:eastAsia="ru-RU"/>
    </w:rPr>
  </w:style>
  <w:style w:type="paragraph" w:styleId="ConsNormal1" w:customStyle="1">
    <w:name w:val="ConsNormal"/>
    <w:link w:val="ConsNormal0"/>
    <w:qFormat/>
    <w:rsid w:val="00ea4301"/>
    <w:pPr>
      <w:widowControl/>
      <w:bidi w:val="0"/>
      <w:snapToGrid w:val="false"/>
      <w:spacing w:lineRule="auto" w:line="240" w:before="0" w:after="0"/>
      <w:ind w:firstLine="720"/>
      <w:jc w:val="both"/>
    </w:pPr>
    <w:rPr>
      <w:rFonts w:ascii="Arial" w:hAnsi="Arial" w:eastAsia="Times New Roman" w:cs="Times New Roman"/>
      <w:color w:val="00000A"/>
      <w:sz w:val="20"/>
      <w:szCs w:val="20"/>
      <w:lang w:val="ru-RU" w:eastAsia="ru-RU" w:bidi="ar-SA"/>
    </w:rPr>
  </w:style>
  <w:style w:type="paragraph" w:styleId="ConsPlusNonformat" w:customStyle="1">
    <w:name w:val="ConsPlusNonformat"/>
    <w:qFormat/>
    <w:rsid w:val="00ea4301"/>
    <w:pPr>
      <w:widowControl w:val="false"/>
      <w:bidi w:val="0"/>
      <w:spacing w:lineRule="auto" w:line="240" w:before="0" w:after="0"/>
      <w:jc w:val="left"/>
    </w:pPr>
    <w:rPr>
      <w:rFonts w:ascii="Courier New" w:hAnsi="Courier New" w:eastAsia="Times New Roman" w:cs="Courier New"/>
      <w:color w:val="00000A"/>
      <w:sz w:val="20"/>
      <w:szCs w:val="20"/>
      <w:lang w:val="ru-RU" w:eastAsia="ru-RU" w:bidi="ar-SA"/>
    </w:rPr>
  </w:style>
  <w:style w:type="paragraph" w:styleId="ConsPlusCell" w:customStyle="1">
    <w:name w:val="ConsPlusCell"/>
    <w:uiPriority w:val="99"/>
    <w:qFormat/>
    <w:rsid w:val="00ea4301"/>
    <w:pPr>
      <w:widowControl w:val="false"/>
      <w:bidi w:val="0"/>
      <w:spacing w:lineRule="auto" w:line="240" w:before="0" w:after="0"/>
      <w:jc w:val="left"/>
    </w:pPr>
    <w:rPr>
      <w:rFonts w:ascii="Arial" w:hAnsi="Arial" w:eastAsia="Times New Roman" w:cs="Arial"/>
      <w:color w:val="00000A"/>
      <w:sz w:val="20"/>
      <w:szCs w:val="20"/>
      <w:lang w:val="ru-RU" w:eastAsia="ru-RU" w:bidi="ar-SA"/>
    </w:rPr>
  </w:style>
  <w:style w:type="paragraph" w:styleId="ConsNonformat1" w:customStyle="1">
    <w:name w:val="ConsNonformat"/>
    <w:link w:val="ConsNonformat0"/>
    <w:qFormat/>
    <w:rsid w:val="00ea4301"/>
    <w:pPr>
      <w:widowControl w:val="false"/>
      <w:suppressAutoHyphens w:val="true"/>
      <w:bidi w:val="0"/>
      <w:spacing w:lineRule="auto" w:line="240" w:before="0" w:after="0"/>
      <w:jc w:val="left"/>
    </w:pPr>
    <w:rPr>
      <w:rFonts w:ascii="Courier New" w:hAnsi="Courier New" w:eastAsia="Arial" w:cs="Times New Roman"/>
      <w:color w:val="00000A"/>
      <w:sz w:val="20"/>
      <w:szCs w:val="20"/>
      <w:lang w:val="ru-RU" w:eastAsia="ar-SA" w:bidi="ar-SA"/>
    </w:rPr>
  </w:style>
  <w:style w:type="paragraph" w:styleId="S51" w:customStyle="1">
    <w:name w:val="S_Заголовок 5"/>
    <w:basedOn w:val="Normal"/>
    <w:autoRedefine/>
    <w:qFormat/>
    <w:rsid w:val="00ea4301"/>
    <w:pPr>
      <w:spacing w:lineRule="auto" w:line="276" w:before="0" w:after="0"/>
      <w:ind w:left="567" w:hanging="0"/>
    </w:pPr>
    <w:rPr>
      <w:rFonts w:ascii="Times New Roman" w:hAnsi="Times New Roman" w:eastAsia="Times New Roman" w:cs="Times New Roman"/>
      <w:b/>
      <w:sz w:val="24"/>
      <w:szCs w:val="24"/>
      <w:lang w:eastAsia="ru-RU"/>
    </w:rPr>
  </w:style>
  <w:style w:type="paragraph" w:styleId="Style75" w:customStyle="1">
    <w:name w:val="_абзац"/>
    <w:basedOn w:val="Normal"/>
    <w:link w:val="affc"/>
    <w:qFormat/>
    <w:rsid w:val="00ea4301"/>
    <w:pPr>
      <w:spacing w:lineRule="auto" w:line="276" w:before="0" w:after="0"/>
      <w:ind w:firstLine="709"/>
      <w:jc w:val="both"/>
    </w:pPr>
    <w:rPr>
      <w:rFonts w:ascii="Times New Roman" w:hAnsi="Times New Roman" w:eastAsia="Times New Roman" w:cs="Times New Roman"/>
      <w:sz w:val="24"/>
      <w:szCs w:val="24"/>
      <w:lang w:eastAsia="ru-RU"/>
    </w:rPr>
  </w:style>
  <w:style w:type="paragraph" w:styleId="S0" w:customStyle="1">
    <w:name w:val="s0"/>
    <w:basedOn w:val="Normal"/>
    <w:qFormat/>
    <w:rsid w:val="00ea4301"/>
    <w:pPr>
      <w:spacing w:lineRule="auto" w:line="240" w:beforeAutospacing="1" w:afterAutospacing="1"/>
    </w:pPr>
    <w:rPr>
      <w:rFonts w:ascii="Times New Roman" w:hAnsi="Times New Roman" w:eastAsia="Times New Roman" w:cs="Times New Roman"/>
      <w:sz w:val="24"/>
      <w:szCs w:val="24"/>
      <w:lang w:eastAsia="ru-RU"/>
    </w:rPr>
  </w:style>
  <w:style w:type="paragraph" w:styleId="Style76" w:customStyle="1">
    <w:name w:val="Список нумерованный Знак"/>
    <w:basedOn w:val="Normal"/>
    <w:semiHidden/>
    <w:qFormat/>
    <w:rsid w:val="00ea4301"/>
    <w:pPr>
      <w:tabs>
        <w:tab w:val="left" w:pos="153" w:leader="none"/>
        <w:tab w:val="left" w:pos="1260" w:leader="none"/>
      </w:tabs>
      <w:spacing w:lineRule="auto" w:line="360" w:before="0" w:after="0"/>
      <w:ind w:left="153" w:hanging="153"/>
      <w:jc w:val="both"/>
    </w:pPr>
    <w:rPr>
      <w:rFonts w:ascii="Times New Roman" w:hAnsi="Times New Roman" w:eastAsia="Times New Roman" w:cs="Times New Roman"/>
      <w:sz w:val="24"/>
      <w:szCs w:val="24"/>
      <w:lang w:eastAsia="ru-RU"/>
    </w:rPr>
  </w:style>
  <w:style w:type="paragraph" w:styleId="ConsPlusTitle" w:customStyle="1">
    <w:name w:val="ConsPlusTitle"/>
    <w:uiPriority w:val="99"/>
    <w:qFormat/>
    <w:rsid w:val="00ea4301"/>
    <w:pPr>
      <w:widowControl w:val="false"/>
      <w:bidi w:val="0"/>
      <w:spacing w:lineRule="auto" w:line="240" w:before="0" w:after="0"/>
      <w:jc w:val="left"/>
    </w:pPr>
    <w:rPr>
      <w:rFonts w:ascii="Calibri" w:hAnsi="Calibri" w:eastAsia="Times New Roman" w:cs="Calibri" w:asciiTheme="minorHAnsi" w:hAnsiTheme="minorHAnsi"/>
      <w:b/>
      <w:bCs/>
      <w:color w:val="00000A"/>
      <w:sz w:val="22"/>
      <w:szCs w:val="22"/>
      <w:lang w:val="ru-RU" w:eastAsia="ru-RU" w:bidi="ar-SA"/>
    </w:rPr>
  </w:style>
  <w:style w:type="paragraph" w:styleId="18" w:customStyle="1">
    <w:name w:val="Маркированный_1"/>
    <w:basedOn w:val="Normal"/>
    <w:semiHidden/>
    <w:qFormat/>
    <w:rsid w:val="00ea4301"/>
    <w:pPr>
      <w:tabs>
        <w:tab w:val="left" w:pos="900" w:leader="none"/>
      </w:tabs>
      <w:spacing w:lineRule="auto" w:line="360" w:before="0" w:after="0"/>
      <w:jc w:val="both"/>
    </w:pPr>
    <w:rPr>
      <w:rFonts w:ascii="Times New Roman" w:hAnsi="Times New Roman" w:eastAsia="Calibri" w:cs="Times New Roman"/>
      <w:sz w:val="24"/>
      <w:szCs w:val="24"/>
    </w:rPr>
  </w:style>
  <w:style w:type="paragraph" w:styleId="Style77" w:customStyle="1">
    <w:name w:val="Закладка"/>
    <w:basedOn w:val="1"/>
    <w:link w:val="afff"/>
    <w:qFormat/>
    <w:rsid w:val="00ea4301"/>
    <w:pPr>
      <w:keepLines w:val="false"/>
      <w:spacing w:lineRule="auto" w:line="240" w:before="0" w:after="0"/>
      <w:ind w:left="360" w:firstLine="540"/>
      <w:jc w:val="both"/>
    </w:pPr>
    <w:rPr>
      <w:rFonts w:ascii="Times New Roman" w:hAnsi="Times New Roman" w:eastAsia="Times New Roman" w:cs="Times New Roman"/>
      <w:b/>
      <w:bCs/>
      <w:color w:val="365F91"/>
      <w:sz w:val="24"/>
    </w:rPr>
  </w:style>
  <w:style w:type="paragraph" w:styleId="19" w:customStyle="1">
    <w:name w:val="Абзац списка1"/>
    <w:basedOn w:val="Normal"/>
    <w:qFormat/>
    <w:rsid w:val="00ea4301"/>
    <w:pPr>
      <w:spacing w:lineRule="auto" w:line="276" w:before="0" w:after="200"/>
      <w:ind w:left="720" w:hanging="0"/>
      <w:contextualSpacing/>
    </w:pPr>
    <w:rPr>
      <w:rFonts w:ascii="Calibri" w:hAnsi="Calibri" w:eastAsia="Calibri" w:cs="Times New Roman"/>
    </w:rPr>
  </w:style>
  <w:style w:type="paragraph" w:styleId="S10" w:customStyle="1">
    <w:name w:val="S_Таблица"/>
    <w:basedOn w:val="Normal"/>
    <w:link w:val="Sc"/>
    <w:autoRedefine/>
    <w:qFormat/>
    <w:rsid w:val="00ea4301"/>
    <w:pPr>
      <w:spacing w:lineRule="auto" w:line="240" w:before="0" w:after="0"/>
      <w:ind w:right="-158" w:hanging="0"/>
      <w:jc w:val="right"/>
    </w:pPr>
    <w:rPr>
      <w:sz w:val="24"/>
      <w:szCs w:val="24"/>
    </w:rPr>
  </w:style>
  <w:style w:type="paragraph" w:styleId="Style78" w:customStyle="1">
    <w:name w:val="Основной"/>
    <w:basedOn w:val="Style79"/>
    <w:qFormat/>
    <w:rsid w:val="00ea4301"/>
    <w:pPr>
      <w:spacing w:lineRule="auto" w:line="240"/>
      <w:ind w:firstLine="680"/>
    </w:pPr>
    <w:rPr>
      <w:rFonts w:eastAsia="Times New Roman" w:cs="Times New Roman"/>
      <w:sz w:val="28"/>
    </w:rPr>
  </w:style>
  <w:style w:type="paragraph" w:styleId="Style79">
    <w:name w:val="Body Text Indent"/>
    <w:basedOn w:val="Style51"/>
    <w:link w:val="affffffd"/>
    <w:qFormat/>
    <w:rsid w:val="00ea4301"/>
    <w:pPr>
      <w:ind w:left="1080" w:firstLine="210"/>
    </w:pPr>
    <w:rPr>
      <w:rFonts w:ascii="Arial" w:hAnsi="Arial" w:eastAsia="Times New Roman" w:cs="Times New Roman"/>
      <w:spacing w:val="-5"/>
    </w:rPr>
  </w:style>
  <w:style w:type="paragraph" w:styleId="62" w:customStyle="1">
    <w:name w:val="заголовок 6"/>
    <w:basedOn w:val="Normal"/>
    <w:qFormat/>
    <w:rsid w:val="00ea4301"/>
    <w:pPr>
      <w:keepNext/>
      <w:spacing w:lineRule="auto" w:line="240" w:before="0" w:after="0"/>
      <w:jc w:val="center"/>
    </w:pPr>
    <w:rPr>
      <w:rFonts w:ascii="Courier New" w:hAnsi="Courier New" w:eastAsia="Times New Roman" w:cs="Courier New"/>
      <w:sz w:val="24"/>
      <w:szCs w:val="24"/>
      <w:lang w:eastAsia="ru-RU"/>
    </w:rPr>
  </w:style>
  <w:style w:type="paragraph" w:styleId="Textn" w:customStyle="1">
    <w:name w:val="textn"/>
    <w:basedOn w:val="Normal"/>
    <w:qFormat/>
    <w:rsid w:val="00ea4301"/>
    <w:pPr>
      <w:spacing w:lineRule="auto" w:line="240" w:beforeAutospacing="1" w:afterAutospacing="1"/>
    </w:pPr>
    <w:rPr>
      <w:rFonts w:ascii="Times New Roman" w:hAnsi="Times New Roman" w:eastAsia="Times New Roman" w:cs="Times New Roman"/>
      <w:sz w:val="24"/>
      <w:szCs w:val="24"/>
      <w:lang w:eastAsia="ru-RU"/>
    </w:rPr>
  </w:style>
  <w:style w:type="paragraph" w:styleId="1466" w:customStyle="1">
    <w:name w:val="1466"/>
    <w:basedOn w:val="Normal"/>
    <w:qFormat/>
    <w:rsid w:val="00ea4301"/>
    <w:pPr>
      <w:spacing w:lineRule="auto" w:line="240" w:before="120" w:after="120"/>
      <w:jc w:val="center"/>
    </w:pPr>
    <w:rPr>
      <w:rFonts w:ascii="Times New Roman" w:hAnsi="Times New Roman" w:eastAsia="Times New Roman" w:cs="Times New Roman"/>
      <w:b/>
      <w:bCs/>
      <w:color w:val="000000"/>
      <w:sz w:val="28"/>
      <w:szCs w:val="28"/>
      <w:lang w:eastAsia="ru-RU"/>
    </w:rPr>
  </w:style>
  <w:style w:type="paragraph" w:styleId="Style80" w:customStyle="1">
    <w:name w:val="Табличный_справа"/>
    <w:basedOn w:val="Normal"/>
    <w:qFormat/>
    <w:rsid w:val="00ea4301"/>
    <w:pPr>
      <w:spacing w:lineRule="auto" w:line="240" w:before="0" w:after="0"/>
      <w:jc w:val="right"/>
    </w:pPr>
    <w:rPr>
      <w:rFonts w:ascii="Times New Roman" w:hAnsi="Times New Roman" w:eastAsia="Times New Roman" w:cs="Times New Roman"/>
      <w:lang w:eastAsia="ru-RU"/>
    </w:rPr>
  </w:style>
  <w:style w:type="paragraph" w:styleId="ConsPlusDocList" w:customStyle="1">
    <w:name w:val="ConsPlusDocList"/>
    <w:uiPriority w:val="99"/>
    <w:qFormat/>
    <w:rsid w:val="00ea4301"/>
    <w:pPr>
      <w:widowControl w:val="false"/>
      <w:bidi w:val="0"/>
      <w:spacing w:lineRule="auto" w:line="240" w:before="0" w:after="0"/>
      <w:jc w:val="left"/>
    </w:pPr>
    <w:rPr>
      <w:rFonts w:ascii="Courier New" w:hAnsi="Courier New" w:eastAsia="Times New Roman" w:cs="Courier New"/>
      <w:color w:val="00000A"/>
      <w:sz w:val="20"/>
      <w:szCs w:val="20"/>
      <w:lang w:val="ru-RU" w:eastAsia="ru-RU" w:bidi="ar-SA"/>
    </w:rPr>
  </w:style>
  <w:style w:type="paragraph" w:styleId="S12" w:customStyle="1">
    <w:name w:val="S_Маркированный"/>
    <w:basedOn w:val="ListBullet"/>
    <w:qFormat/>
    <w:rsid w:val="00ea4301"/>
    <w:pPr>
      <w:tabs>
        <w:tab w:val="left" w:pos="900" w:leader="none"/>
      </w:tabs>
      <w:spacing w:before="0" w:after="0"/>
      <w:ind w:left="900" w:hanging="360"/>
      <w:contextualSpacing/>
    </w:pPr>
    <w:rPr>
      <w:rFonts w:eastAsia="Times New Roman" w:cs="Times New Roman"/>
      <w:w w:val="109"/>
    </w:rPr>
  </w:style>
  <w:style w:type="paragraph" w:styleId="Style81" w:customStyle="1">
    <w:name w:val="Раздел МНГП"/>
    <w:basedOn w:val="1"/>
    <w:qFormat/>
    <w:rsid w:val="00ea4301"/>
    <w:pPr>
      <w:pageBreakBefore/>
      <w:spacing w:lineRule="auto" w:line="240" w:before="480" w:after="0"/>
      <w:ind w:left="360" w:hanging="360"/>
      <w:jc w:val="center"/>
    </w:pPr>
    <w:rPr>
      <w:rFonts w:ascii="Times New Roman" w:hAnsi="Times New Roman" w:eastAsia="Times New Roman" w:cs="Times New Roman"/>
      <w:b/>
      <w:bCs/>
      <w:color w:val="00000A"/>
      <w:sz w:val="24"/>
      <w:szCs w:val="28"/>
    </w:rPr>
  </w:style>
  <w:style w:type="paragraph" w:styleId="Style82" w:customStyle="1">
    <w:name w:val="раздел МНГП"/>
    <w:basedOn w:val="1"/>
    <w:qFormat/>
    <w:rsid w:val="00ea4301"/>
    <w:pPr>
      <w:pageBreakBefore/>
      <w:spacing w:lineRule="auto" w:line="240" w:before="480" w:after="0"/>
      <w:ind w:left="360" w:hanging="360"/>
      <w:jc w:val="center"/>
    </w:pPr>
    <w:rPr>
      <w:rFonts w:ascii="Times New Roman" w:hAnsi="Times New Roman" w:eastAsia="Times New Roman" w:cs="Times New Roman"/>
      <w:b/>
      <w:bCs/>
      <w:color w:val="000000"/>
      <w:sz w:val="24"/>
      <w:szCs w:val="28"/>
    </w:rPr>
  </w:style>
  <w:style w:type="paragraph" w:styleId="Style83" w:customStyle="1">
    <w:name w:val="глава МНГП"/>
    <w:basedOn w:val="2"/>
    <w:qFormat/>
    <w:rsid w:val="00ea4301"/>
    <w:pPr>
      <w:spacing w:lineRule="auto" w:line="276" w:before="200" w:after="0"/>
      <w:ind w:left="720" w:hanging="360"/>
      <w:jc w:val="both"/>
    </w:pPr>
    <w:rPr>
      <w:rFonts w:ascii="Times New Roman" w:hAnsi="Times New Roman" w:eastAsia="Times New Roman" w:cs="Times New Roman"/>
      <w:b/>
      <w:bCs/>
      <w:color w:val="00000A"/>
      <w:sz w:val="24"/>
      <w:szCs w:val="24"/>
      <w:lang w:eastAsia="ru-RU"/>
    </w:rPr>
  </w:style>
  <w:style w:type="paragraph" w:styleId="Xl65" w:customStyle="1">
    <w:name w:val="xl65"/>
    <w:basedOn w:val="Normal"/>
    <w:qFormat/>
    <w:rsid w:val="00ea4301"/>
    <w:pPr>
      <w:spacing w:lineRule="auto" w:line="240" w:beforeAutospacing="1" w:afterAutospacing="1"/>
    </w:pPr>
    <w:rPr>
      <w:rFonts w:ascii="Times New Roman" w:hAnsi="Times New Roman" w:eastAsia="Times New Roman" w:cs="Times New Roman"/>
      <w:sz w:val="24"/>
      <w:szCs w:val="24"/>
      <w:lang w:eastAsia="ru-RU"/>
    </w:rPr>
  </w:style>
  <w:style w:type="paragraph" w:styleId="Xl66" w:customStyle="1">
    <w:name w:val="xl66"/>
    <w:basedOn w:val="Normal"/>
    <w:qFormat/>
    <w:rsid w:val="00ea4301"/>
    <w:pPr>
      <w:pBdr>
        <w:top w:val="single" w:sz="4" w:space="0" w:color="000001"/>
        <w:left w:val="single" w:sz="4" w:space="0" w:color="000001"/>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67" w:customStyle="1">
    <w:name w:val="xl67"/>
    <w:basedOn w:val="Normal"/>
    <w:qFormat/>
    <w:rsid w:val="00ea4301"/>
    <w:pPr>
      <w:pBdr>
        <w:top w:val="single" w:sz="4" w:space="0" w:color="000001"/>
        <w:left w:val="single" w:sz="4" w:space="0" w:color="000001"/>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68" w:customStyle="1">
    <w:name w:val="xl68"/>
    <w:basedOn w:val="Normal"/>
    <w:qFormat/>
    <w:rsid w:val="00ea4301"/>
    <w:pPr>
      <w:pBdr>
        <w:top w:val="single" w:sz="4" w:space="0" w:color="000001"/>
        <w:left w:val="single" w:sz="4" w:space="0" w:color="000001"/>
      </w:pBdr>
      <w:spacing w:lineRule="auto" w:line="240" w:beforeAutospacing="1" w:afterAutospacing="1"/>
    </w:pPr>
    <w:rPr>
      <w:rFonts w:ascii="Times New Roman" w:hAnsi="Times New Roman" w:eastAsia="Times New Roman" w:cs="Times New Roman"/>
      <w:sz w:val="24"/>
      <w:szCs w:val="24"/>
      <w:lang w:eastAsia="ru-RU"/>
    </w:rPr>
  </w:style>
  <w:style w:type="paragraph" w:styleId="Xl69" w:customStyle="1">
    <w:name w:val="xl69"/>
    <w:basedOn w:val="Normal"/>
    <w:qFormat/>
    <w:rsid w:val="00ea4301"/>
    <w:pPr>
      <w:pBdr>
        <w:top w:val="single" w:sz="4" w:space="0" w:color="000001"/>
        <w:left w:val="single" w:sz="4" w:space="0" w:color="000001"/>
        <w:right w:val="single" w:sz="4" w:space="0" w:color="00000A"/>
      </w:pBdr>
      <w:spacing w:lineRule="auto" w:line="240" w:beforeAutospacing="1" w:afterAutospacing="1"/>
    </w:pPr>
    <w:rPr>
      <w:rFonts w:ascii="Times New Roman" w:hAnsi="Times New Roman" w:eastAsia="Times New Roman" w:cs="Times New Roman"/>
      <w:sz w:val="24"/>
      <w:szCs w:val="24"/>
      <w:lang w:eastAsia="ru-RU"/>
    </w:rPr>
  </w:style>
  <w:style w:type="paragraph" w:styleId="Xl70" w:customStyle="1">
    <w:name w:val="xl70"/>
    <w:basedOn w:val="Normal"/>
    <w:qFormat/>
    <w:rsid w:val="00ea4301"/>
    <w:pPr>
      <w:pBdr>
        <w:left w:val="single" w:sz="4" w:space="0" w:color="000001"/>
      </w:pBdr>
      <w:spacing w:lineRule="auto" w:line="240" w:beforeAutospacing="1" w:afterAutospacing="1"/>
    </w:pPr>
    <w:rPr>
      <w:rFonts w:ascii="Times New Roman" w:hAnsi="Times New Roman" w:eastAsia="Times New Roman" w:cs="Times New Roman"/>
      <w:sz w:val="24"/>
      <w:szCs w:val="24"/>
      <w:lang w:eastAsia="ru-RU"/>
    </w:rPr>
  </w:style>
  <w:style w:type="paragraph" w:styleId="Xl71" w:customStyle="1">
    <w:name w:val="xl71"/>
    <w:basedOn w:val="Normal"/>
    <w:qFormat/>
    <w:rsid w:val="00ea4301"/>
    <w:pPr>
      <w:pBdr>
        <w:top w:val="single" w:sz="4" w:space="0" w:color="000001"/>
        <w:left w:val="single" w:sz="4" w:space="0" w:color="000001"/>
        <w:bottom w:val="single" w:sz="4" w:space="0" w:color="000001"/>
        <w:right w:val="single" w:sz="4" w:space="0" w:color="00000A"/>
      </w:pBdr>
      <w:spacing w:lineRule="auto" w:line="240" w:beforeAutospacing="1" w:afterAutospacing="1"/>
    </w:pPr>
    <w:rPr>
      <w:rFonts w:ascii="Times New Roman" w:hAnsi="Times New Roman" w:eastAsia="Times New Roman" w:cs="Times New Roman"/>
      <w:sz w:val="24"/>
      <w:szCs w:val="24"/>
      <w:lang w:eastAsia="ru-RU"/>
    </w:rPr>
  </w:style>
  <w:style w:type="paragraph" w:styleId="Xl72" w:customStyle="1">
    <w:name w:val="xl72"/>
    <w:basedOn w:val="Normal"/>
    <w:qFormat/>
    <w:rsid w:val="00ea4301"/>
    <w:pPr>
      <w:pBdr>
        <w:top w:val="single" w:sz="4" w:space="0" w:color="000001"/>
        <w:left w:val="single" w:sz="4" w:space="0" w:color="000001"/>
      </w:pBdr>
      <w:spacing w:lineRule="auto" w:line="240" w:beforeAutospacing="1" w:afterAutospacing="1"/>
      <w:jc w:val="center"/>
    </w:pPr>
    <w:rPr>
      <w:rFonts w:ascii="Times New Roman" w:hAnsi="Times New Roman" w:eastAsia="Times New Roman" w:cs="Times New Roman"/>
      <w:b/>
      <w:bCs/>
      <w:sz w:val="24"/>
      <w:szCs w:val="24"/>
      <w:lang w:eastAsia="ru-RU"/>
    </w:rPr>
  </w:style>
  <w:style w:type="paragraph" w:styleId="Xl73" w:customStyle="1">
    <w:name w:val="xl73"/>
    <w:basedOn w:val="Normal"/>
    <w:qFormat/>
    <w:rsid w:val="00ea4301"/>
    <w:pPr>
      <w:pBdr>
        <w:top w:val="single" w:sz="4" w:space="0" w:color="000001"/>
        <w:left w:val="single" w:sz="4" w:space="0" w:color="000001"/>
      </w:pBdr>
      <w:spacing w:lineRule="auto" w:line="240" w:beforeAutospacing="1" w:afterAutospacing="1"/>
      <w:jc w:val="center"/>
    </w:pPr>
    <w:rPr>
      <w:rFonts w:ascii="Times New Roman" w:hAnsi="Times New Roman" w:eastAsia="Times New Roman" w:cs="Times New Roman"/>
      <w:b/>
      <w:bCs/>
      <w:sz w:val="24"/>
      <w:szCs w:val="24"/>
      <w:lang w:eastAsia="ru-RU"/>
    </w:rPr>
  </w:style>
  <w:style w:type="paragraph" w:styleId="Xl74" w:customStyle="1">
    <w:name w:val="xl74"/>
    <w:basedOn w:val="Normal"/>
    <w:qFormat/>
    <w:rsid w:val="00ea4301"/>
    <w:pPr>
      <w:pBdr>
        <w:top w:val="single" w:sz="4" w:space="0" w:color="000001"/>
        <w:left w:val="single" w:sz="4" w:space="0" w:color="000001"/>
        <w:right w:val="single" w:sz="4" w:space="0" w:color="00000A"/>
      </w:pBdr>
      <w:spacing w:lineRule="auto" w:line="240" w:beforeAutospacing="1" w:afterAutospacing="1"/>
      <w:jc w:val="center"/>
    </w:pPr>
    <w:rPr>
      <w:rFonts w:ascii="Times New Roman" w:hAnsi="Times New Roman" w:eastAsia="Times New Roman" w:cs="Times New Roman"/>
      <w:b/>
      <w:bCs/>
      <w:sz w:val="24"/>
      <w:szCs w:val="24"/>
      <w:lang w:eastAsia="ru-RU"/>
    </w:rPr>
  </w:style>
  <w:style w:type="paragraph" w:styleId="Xl75" w:customStyle="1">
    <w:name w:val="xl75"/>
    <w:basedOn w:val="Normal"/>
    <w:qFormat/>
    <w:rsid w:val="00ea4301"/>
    <w:pPr>
      <w:pBdr>
        <w:left w:val="single" w:sz="4" w:space="0" w:color="000001"/>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76" w:customStyle="1">
    <w:name w:val="xl76"/>
    <w:basedOn w:val="Normal"/>
    <w:qFormat/>
    <w:rsid w:val="00ea4301"/>
    <w:pP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77" w:customStyle="1">
    <w:name w:val="xl77"/>
    <w:basedOn w:val="Normal"/>
    <w:qFormat/>
    <w:rsid w:val="00ea4301"/>
    <w:pPr>
      <w:pBdr>
        <w:left w:val="single" w:sz="4" w:space="0" w:color="000001"/>
      </w:pBdr>
      <w:spacing w:lineRule="auto" w:line="240" w:beforeAutospacing="1" w:afterAutospacing="1"/>
      <w:jc w:val="center"/>
    </w:pPr>
    <w:rPr>
      <w:rFonts w:ascii="Times New Roman" w:hAnsi="Times New Roman" w:eastAsia="Times New Roman" w:cs="Times New Roman"/>
      <w:sz w:val="24"/>
      <w:szCs w:val="24"/>
      <w:lang w:eastAsia="ru-RU"/>
    </w:rPr>
  </w:style>
  <w:style w:type="paragraph" w:styleId="Xl78" w:customStyle="1">
    <w:name w:val="xl78"/>
    <w:basedOn w:val="Normal"/>
    <w:qFormat/>
    <w:rsid w:val="00ea4301"/>
    <w:pPr>
      <w:pBdr>
        <w:left w:val="single" w:sz="4" w:space="0" w:color="00000A"/>
        <w:right w:val="single" w:sz="4" w:space="0" w:color="00000A"/>
      </w:pBdr>
      <w:spacing w:lineRule="auto" w:line="240" w:beforeAutospacing="1" w:afterAutospacing="1"/>
    </w:pPr>
    <w:rPr>
      <w:rFonts w:ascii="Times New Roman" w:hAnsi="Times New Roman" w:eastAsia="Times New Roman" w:cs="Times New Roman"/>
      <w:sz w:val="24"/>
      <w:szCs w:val="24"/>
      <w:lang w:eastAsia="ru-RU"/>
    </w:rPr>
  </w:style>
  <w:style w:type="paragraph" w:styleId="Xl79" w:customStyle="1">
    <w:name w:val="xl79"/>
    <w:basedOn w:val="Normal"/>
    <w:qFormat/>
    <w:rsid w:val="00ea4301"/>
    <w:pPr>
      <w:pBdr>
        <w:top w:val="single" w:sz="4" w:space="0" w:color="000001"/>
        <w:left w:val="single" w:sz="4" w:space="0" w:color="00000A"/>
        <w:bottom w:val="single" w:sz="4" w:space="0" w:color="00000A"/>
        <w:right w:val="single" w:sz="4" w:space="0" w:color="00000A"/>
      </w:pBdr>
      <w:spacing w:lineRule="auto" w:line="240" w:beforeAutospacing="1" w:afterAutospacing="1"/>
    </w:pPr>
    <w:rPr>
      <w:rFonts w:ascii="Times New Roman" w:hAnsi="Times New Roman" w:eastAsia="Times New Roman" w:cs="Times New Roman"/>
      <w:sz w:val="24"/>
      <w:szCs w:val="24"/>
      <w:lang w:eastAsia="ru-RU"/>
    </w:rPr>
  </w:style>
  <w:style w:type="paragraph" w:styleId="Xl80" w:customStyle="1">
    <w:name w:val="xl80"/>
    <w:basedOn w:val="Normal"/>
    <w:qFormat/>
    <w:rsid w:val="00ea4301"/>
    <w:pPr>
      <w:pBdr>
        <w:top w:val="single" w:sz="4" w:space="0" w:color="00000A"/>
        <w:left w:val="single" w:sz="4" w:space="0" w:color="00000A"/>
        <w:right w:val="single" w:sz="4" w:space="0" w:color="00000A"/>
      </w:pBdr>
      <w:spacing w:lineRule="auto" w:line="240" w:beforeAutospacing="1" w:afterAutospacing="1"/>
      <w:jc w:val="center"/>
    </w:pPr>
    <w:rPr>
      <w:rFonts w:ascii="Times New Roman" w:hAnsi="Times New Roman" w:eastAsia="Times New Roman" w:cs="Times New Roman"/>
      <w:b/>
      <w:bCs/>
      <w:sz w:val="24"/>
      <w:szCs w:val="24"/>
      <w:lang w:eastAsia="ru-RU"/>
    </w:rPr>
  </w:style>
  <w:style w:type="paragraph" w:styleId="214" w:customStyle="1">
    <w:name w:val="Стиль2"/>
    <w:basedOn w:val="6"/>
    <w:qFormat/>
    <w:rsid w:val="00ea4301"/>
    <w:pPr>
      <w:spacing w:lineRule="auto" w:line="276" w:beforeAutospacing="0" w:before="240" w:afterAutospacing="0" w:after="60"/>
      <w:ind w:left="714" w:hanging="357"/>
    </w:pPr>
    <w:rPr>
      <w:rFonts w:eastAsia="Times New Roman" w:cs="Times New Roman"/>
      <w:sz w:val="24"/>
      <w:szCs w:val="20"/>
    </w:rPr>
  </w:style>
  <w:style w:type="paragraph" w:styleId="S23" w:customStyle="1">
    <w:name w:val="S_Нумерованный 2"/>
    <w:basedOn w:val="Normal"/>
    <w:autoRedefine/>
    <w:qFormat/>
    <w:rsid w:val="00ea4301"/>
    <w:pPr>
      <w:tabs>
        <w:tab w:val="left" w:pos="680" w:leader="none"/>
      </w:tabs>
      <w:spacing w:lineRule="auto" w:line="360" w:before="0" w:after="0"/>
      <w:jc w:val="both"/>
    </w:pPr>
    <w:rPr>
      <w:rFonts w:ascii="Times New Roman" w:hAnsi="Times New Roman" w:eastAsia="Times New Roman" w:cs="Times New Roman"/>
      <w:sz w:val="24"/>
      <w:szCs w:val="24"/>
      <w:lang w:eastAsia="ru-RU"/>
    </w:rPr>
  </w:style>
  <w:style w:type="paragraph" w:styleId="S311" w:customStyle="1">
    <w:name w:val="S_Нумерованный_3.1"/>
    <w:basedOn w:val="S5"/>
    <w:autoRedefine/>
    <w:qFormat/>
    <w:rsid w:val="00ea4301"/>
    <w:pPr>
      <w:spacing w:lineRule="auto" w:line="360" w:before="0" w:after="0"/>
    </w:pPr>
    <w:rPr>
      <w:color w:val="FF0000"/>
      <w:lang w:eastAsia="en-US"/>
    </w:rPr>
  </w:style>
  <w:style w:type="paragraph" w:styleId="54" w:customStyle="1">
    <w:name w:val="Название5"/>
    <w:basedOn w:val="Normal"/>
    <w:qFormat/>
    <w:rsid w:val="00ea4301"/>
    <w:pPr>
      <w:widowControl w:val="false"/>
      <w:suppressLineNumbers/>
      <w:spacing w:lineRule="auto" w:line="240" w:before="120" w:after="120"/>
    </w:pPr>
    <w:rPr>
      <w:rFonts w:ascii="Arial" w:hAnsi="Arial" w:eastAsia="Lucida Sans Unicode" w:cs="Tahoma"/>
      <w:i/>
      <w:iCs/>
      <w:sz w:val="24"/>
      <w:szCs w:val="24"/>
      <w:lang w:eastAsia="ru-RU"/>
    </w:rPr>
  </w:style>
  <w:style w:type="paragraph" w:styleId="55" w:customStyle="1">
    <w:name w:val="Указатель5"/>
    <w:basedOn w:val="Normal"/>
    <w:qFormat/>
    <w:rsid w:val="00ea4301"/>
    <w:pPr>
      <w:widowControl w:val="false"/>
      <w:suppressLineNumbers/>
      <w:spacing w:lineRule="auto" w:line="240" w:before="0" w:after="0"/>
    </w:pPr>
    <w:rPr>
      <w:rFonts w:ascii="Arial" w:hAnsi="Arial" w:eastAsia="Lucida Sans Unicode" w:cs="Tahoma"/>
      <w:sz w:val="24"/>
      <w:szCs w:val="24"/>
      <w:lang w:eastAsia="ru-RU"/>
    </w:rPr>
  </w:style>
  <w:style w:type="paragraph" w:styleId="43" w:customStyle="1">
    <w:name w:val="Название4"/>
    <w:basedOn w:val="Normal"/>
    <w:qFormat/>
    <w:rsid w:val="00ea4301"/>
    <w:pPr>
      <w:widowControl w:val="false"/>
      <w:suppressLineNumbers/>
      <w:spacing w:lineRule="auto" w:line="240" w:before="120" w:after="120"/>
    </w:pPr>
    <w:rPr>
      <w:rFonts w:ascii="Arial" w:hAnsi="Arial" w:eastAsia="Lucida Sans Unicode" w:cs="Tahoma"/>
      <w:i/>
      <w:iCs/>
      <w:sz w:val="24"/>
      <w:szCs w:val="24"/>
      <w:lang w:eastAsia="ru-RU"/>
    </w:rPr>
  </w:style>
  <w:style w:type="paragraph" w:styleId="44" w:customStyle="1">
    <w:name w:val="Указатель4"/>
    <w:basedOn w:val="Normal"/>
    <w:qFormat/>
    <w:rsid w:val="00ea4301"/>
    <w:pPr>
      <w:widowControl w:val="false"/>
      <w:suppressLineNumbers/>
      <w:spacing w:lineRule="auto" w:line="240" w:before="0" w:after="0"/>
    </w:pPr>
    <w:rPr>
      <w:rFonts w:ascii="Arial" w:hAnsi="Arial" w:eastAsia="Lucida Sans Unicode" w:cs="Tahoma"/>
      <w:sz w:val="24"/>
      <w:szCs w:val="24"/>
      <w:lang w:eastAsia="ru-RU"/>
    </w:rPr>
  </w:style>
  <w:style w:type="paragraph" w:styleId="37" w:customStyle="1">
    <w:name w:val="Название3"/>
    <w:basedOn w:val="Normal"/>
    <w:qFormat/>
    <w:rsid w:val="00ea4301"/>
    <w:pPr>
      <w:widowControl w:val="false"/>
      <w:suppressLineNumbers/>
      <w:spacing w:lineRule="auto" w:line="240" w:before="120" w:after="120"/>
    </w:pPr>
    <w:rPr>
      <w:rFonts w:ascii="Arial" w:hAnsi="Arial" w:eastAsia="Lucida Sans Unicode" w:cs="Tahoma"/>
      <w:i/>
      <w:iCs/>
      <w:sz w:val="24"/>
      <w:szCs w:val="24"/>
      <w:lang w:eastAsia="ru-RU"/>
    </w:rPr>
  </w:style>
  <w:style w:type="paragraph" w:styleId="38" w:customStyle="1">
    <w:name w:val="Указатель3"/>
    <w:basedOn w:val="Normal"/>
    <w:qFormat/>
    <w:rsid w:val="00ea4301"/>
    <w:pPr>
      <w:widowControl w:val="false"/>
      <w:suppressLineNumbers/>
      <w:spacing w:lineRule="auto" w:line="240" w:before="0" w:after="0"/>
    </w:pPr>
    <w:rPr>
      <w:rFonts w:ascii="Arial" w:hAnsi="Arial" w:eastAsia="Lucida Sans Unicode" w:cs="Tahoma"/>
      <w:sz w:val="24"/>
      <w:szCs w:val="24"/>
      <w:lang w:eastAsia="ru-RU"/>
    </w:rPr>
  </w:style>
  <w:style w:type="paragraph" w:styleId="215" w:customStyle="1">
    <w:name w:val="Название2"/>
    <w:basedOn w:val="Normal"/>
    <w:qFormat/>
    <w:rsid w:val="00ea4301"/>
    <w:pPr>
      <w:widowControl w:val="false"/>
      <w:suppressLineNumbers/>
      <w:spacing w:lineRule="auto" w:line="240" w:before="120" w:after="120"/>
    </w:pPr>
    <w:rPr>
      <w:rFonts w:ascii="Arial" w:hAnsi="Arial" w:eastAsia="Lucida Sans Unicode" w:cs="Tahoma"/>
      <w:i/>
      <w:iCs/>
      <w:sz w:val="24"/>
      <w:szCs w:val="24"/>
      <w:lang w:eastAsia="ru-RU"/>
    </w:rPr>
  </w:style>
  <w:style w:type="paragraph" w:styleId="216" w:customStyle="1">
    <w:name w:val="Указатель2"/>
    <w:basedOn w:val="Normal"/>
    <w:qFormat/>
    <w:rsid w:val="00ea4301"/>
    <w:pPr>
      <w:widowControl w:val="false"/>
      <w:suppressLineNumbers/>
      <w:spacing w:lineRule="auto" w:line="240" w:before="0" w:after="0"/>
    </w:pPr>
    <w:rPr>
      <w:rFonts w:ascii="Arial" w:hAnsi="Arial" w:eastAsia="Lucida Sans Unicode" w:cs="Tahoma"/>
      <w:sz w:val="24"/>
      <w:szCs w:val="24"/>
      <w:lang w:eastAsia="ru-RU"/>
    </w:rPr>
  </w:style>
  <w:style w:type="paragraph" w:styleId="110" w:customStyle="1">
    <w:name w:val="Название1"/>
    <w:basedOn w:val="Normal"/>
    <w:qFormat/>
    <w:rsid w:val="00ea4301"/>
    <w:pPr>
      <w:widowControl w:val="false"/>
      <w:suppressLineNumbers/>
      <w:spacing w:lineRule="auto" w:line="240" w:before="120" w:after="120"/>
    </w:pPr>
    <w:rPr>
      <w:rFonts w:ascii="Arial" w:hAnsi="Arial" w:eastAsia="Lucida Sans Unicode" w:cs="Tahoma"/>
      <w:i/>
      <w:iCs/>
      <w:sz w:val="24"/>
      <w:szCs w:val="24"/>
      <w:lang w:eastAsia="ru-RU"/>
    </w:rPr>
  </w:style>
  <w:style w:type="paragraph" w:styleId="113" w:customStyle="1">
    <w:name w:val="Указатель1"/>
    <w:basedOn w:val="Normal"/>
    <w:qFormat/>
    <w:rsid w:val="00ea4301"/>
    <w:pPr>
      <w:widowControl w:val="false"/>
      <w:suppressLineNumbers/>
      <w:spacing w:lineRule="auto" w:line="240" w:before="0" w:after="0"/>
    </w:pPr>
    <w:rPr>
      <w:rFonts w:ascii="Arial" w:hAnsi="Arial" w:eastAsia="Lucida Sans Unicode" w:cs="Tahoma"/>
      <w:sz w:val="24"/>
      <w:szCs w:val="24"/>
      <w:lang w:eastAsia="ru-RU"/>
    </w:rPr>
  </w:style>
  <w:style w:type="paragraph" w:styleId="Style84" w:customStyle="1">
    <w:name w:val="Содержимое таблицы"/>
    <w:basedOn w:val="Normal"/>
    <w:qFormat/>
    <w:rsid w:val="00ea4301"/>
    <w:pPr>
      <w:widowControl w:val="false"/>
      <w:suppressLineNumbers/>
      <w:spacing w:lineRule="auto" w:line="240" w:before="0" w:after="0"/>
    </w:pPr>
    <w:rPr>
      <w:rFonts w:ascii="Arial" w:hAnsi="Arial" w:eastAsia="Lucida Sans Unicode" w:cs="Times New Roman"/>
      <w:sz w:val="24"/>
      <w:szCs w:val="24"/>
      <w:lang w:eastAsia="ru-RU"/>
    </w:rPr>
  </w:style>
  <w:style w:type="paragraph" w:styleId="Style85" w:customStyle="1">
    <w:name w:val="Заголовок таблицы"/>
    <w:basedOn w:val="Style84"/>
    <w:qFormat/>
    <w:rsid w:val="00ea4301"/>
    <w:pPr>
      <w:jc w:val="center"/>
    </w:pPr>
    <w:rPr>
      <w:b/>
      <w:bCs/>
      <w:i/>
      <w:iCs/>
    </w:rPr>
  </w:style>
  <w:style w:type="paragraph" w:styleId="Style86" w:customStyle="1">
    <w:name w:val="Содержимое врезки"/>
    <w:basedOn w:val="Style51"/>
    <w:qFormat/>
    <w:rsid w:val="00ea4301"/>
    <w:pPr>
      <w:widowControl w:val="false"/>
      <w:spacing w:lineRule="auto" w:line="240"/>
      <w:ind w:hanging="0"/>
      <w:jc w:val="left"/>
    </w:pPr>
    <w:rPr>
      <w:rFonts w:ascii="Arial" w:hAnsi="Arial" w:eastAsia="Lucida Sans Unicode" w:cs="Times New Roman"/>
    </w:rPr>
  </w:style>
  <w:style w:type="paragraph" w:styleId="217" w:customStyle="1">
    <w:name w:val="Основной текст с отступом 21"/>
    <w:basedOn w:val="Normal"/>
    <w:qFormat/>
    <w:rsid w:val="00ea4301"/>
    <w:pPr>
      <w:widowControl w:val="false"/>
      <w:spacing w:lineRule="auto" w:line="240" w:before="0" w:after="0"/>
      <w:ind w:firstLine="720"/>
      <w:jc w:val="both"/>
    </w:pPr>
    <w:rPr>
      <w:rFonts w:ascii="Arial" w:hAnsi="Arial" w:eastAsia="Lucida Sans Unicode" w:cs="Times New Roman"/>
      <w:szCs w:val="24"/>
      <w:lang w:eastAsia="ru-RU"/>
    </w:rPr>
  </w:style>
  <w:style w:type="paragraph" w:styleId="311" w:customStyle="1">
    <w:name w:val="Основной текст с отступом 31"/>
    <w:basedOn w:val="Normal"/>
    <w:qFormat/>
    <w:rsid w:val="00ea4301"/>
    <w:pPr>
      <w:widowControl w:val="false"/>
      <w:spacing w:lineRule="auto" w:line="240" w:before="0" w:after="0"/>
      <w:ind w:firstLine="720"/>
      <w:jc w:val="center"/>
    </w:pPr>
    <w:rPr>
      <w:rFonts w:ascii="Arial" w:hAnsi="Arial" w:eastAsia="Lucida Sans Unicode" w:cs="Times New Roman"/>
      <w:b/>
      <w:szCs w:val="24"/>
      <w:lang w:eastAsia="ru-RU"/>
    </w:rPr>
  </w:style>
  <w:style w:type="paragraph" w:styleId="312" w:customStyle="1">
    <w:name w:val="Основной текст 31"/>
    <w:basedOn w:val="Normal"/>
    <w:qFormat/>
    <w:rsid w:val="00ea4301"/>
    <w:pPr>
      <w:widowControl w:val="false"/>
      <w:spacing w:lineRule="auto" w:line="240" w:before="0" w:after="0"/>
      <w:jc w:val="center"/>
    </w:pPr>
    <w:rPr>
      <w:rFonts w:ascii="Arial" w:hAnsi="Arial" w:eastAsia="Lucida Sans Unicode" w:cs="Times New Roman"/>
      <w:sz w:val="16"/>
      <w:szCs w:val="24"/>
      <w:lang w:eastAsia="ru-RU"/>
    </w:rPr>
  </w:style>
  <w:style w:type="paragraph" w:styleId="218" w:customStyle="1">
    <w:name w:val="Основной текст 21"/>
    <w:basedOn w:val="Normal"/>
    <w:qFormat/>
    <w:rsid w:val="00ea4301"/>
    <w:pPr>
      <w:widowControl w:val="false"/>
      <w:spacing w:lineRule="auto" w:line="240" w:before="0" w:after="0"/>
      <w:jc w:val="both"/>
    </w:pPr>
    <w:rPr>
      <w:rFonts w:ascii="Arial" w:hAnsi="Arial" w:eastAsia="Lucida Sans Unicode" w:cs="Times New Roman"/>
      <w:sz w:val="24"/>
      <w:szCs w:val="24"/>
      <w:lang w:eastAsia="ru-RU"/>
    </w:rPr>
  </w:style>
  <w:style w:type="paragraph" w:styleId="114" w:customStyle="1">
    <w:name w:val="Схема документа1"/>
    <w:basedOn w:val="Normal"/>
    <w:qFormat/>
    <w:rsid w:val="00ea4301"/>
    <w:pPr>
      <w:widowControl w:val="false"/>
      <w:shd w:val="clear" w:color="auto" w:fill="000080"/>
      <w:spacing w:lineRule="auto" w:line="240" w:before="0" w:after="0"/>
    </w:pPr>
    <w:rPr>
      <w:rFonts w:ascii="Tahoma" w:hAnsi="Tahoma" w:eastAsia="Lucida Sans Unicode" w:cs="Tahoma"/>
      <w:sz w:val="20"/>
      <w:szCs w:val="20"/>
      <w:lang w:eastAsia="ru-RU"/>
    </w:rPr>
  </w:style>
  <w:style w:type="paragraph" w:styleId="221" w:customStyle="1">
    <w:name w:val="Основной текст с отступом 22"/>
    <w:basedOn w:val="Normal"/>
    <w:qFormat/>
    <w:rsid w:val="00ea4301"/>
    <w:pPr>
      <w:widowControl w:val="false"/>
      <w:spacing w:lineRule="auto" w:line="480" w:before="0" w:after="120"/>
      <w:ind w:left="283" w:hanging="0"/>
    </w:pPr>
    <w:rPr>
      <w:rFonts w:ascii="Arial" w:hAnsi="Arial" w:eastAsia="Lucida Sans Unicode" w:cs="Times New Roman"/>
      <w:sz w:val="24"/>
      <w:szCs w:val="24"/>
      <w:lang w:eastAsia="ru-RU"/>
    </w:rPr>
  </w:style>
  <w:style w:type="paragraph" w:styleId="115" w:customStyle="1">
    <w:name w:val="Обычный1"/>
    <w:link w:val="Normal"/>
    <w:qFormat/>
    <w:rsid w:val="00ea4301"/>
    <w:pPr>
      <w:widowControl w:val="false"/>
      <w:suppressAutoHyphens w:val="true"/>
      <w:overflowPunct w:val="false"/>
      <w:bidi w:val="0"/>
      <w:spacing w:lineRule="auto" w:line="240" w:before="0" w:after="0"/>
      <w:jc w:val="left"/>
    </w:pPr>
    <w:rPr>
      <w:rFonts w:ascii="Times New Roman" w:hAnsi="Times New Roman" w:eastAsia="Times New Roman" w:cs="Times New Roman"/>
      <w:color w:val="00000A"/>
      <w:sz w:val="20"/>
      <w:szCs w:val="20"/>
      <w:lang w:val="ru-RU" w:eastAsia="ar-SA" w:bidi="ar-SA"/>
    </w:rPr>
  </w:style>
  <w:style w:type="paragraph" w:styleId="2111" w:customStyle="1">
    <w:name w:val="Знак2 Знак Знак1 Знак1 Знак Знак Знак Знак Знак Знак Знак Знак Знак Знак Знак Знак"/>
    <w:basedOn w:val="Normal"/>
    <w:qFormat/>
    <w:rsid w:val="00ea4301"/>
    <w:pPr>
      <w:spacing w:lineRule="exact" w:line="240"/>
    </w:pPr>
    <w:rPr>
      <w:rFonts w:ascii="Verdana" w:hAnsi="Verdana" w:eastAsia="Times New Roman" w:cs="Times New Roman"/>
      <w:sz w:val="20"/>
      <w:szCs w:val="20"/>
      <w:lang w:val="en-US"/>
    </w:rPr>
  </w:style>
  <w:style w:type="paragraph" w:styleId="ConsCell" w:customStyle="1">
    <w:name w:val="ConsCell"/>
    <w:qFormat/>
    <w:rsid w:val="00ea4301"/>
    <w:pPr>
      <w:widowControl w:val="false"/>
      <w:overflowPunct w:val="false"/>
      <w:bidi w:val="0"/>
      <w:spacing w:lineRule="auto" w:line="240" w:before="0" w:after="0"/>
      <w:jc w:val="left"/>
      <w:textAlignment w:val="baseline"/>
    </w:pPr>
    <w:rPr>
      <w:rFonts w:ascii="Arial" w:hAnsi="Arial" w:eastAsia="Times New Roman" w:cs="Times New Roman"/>
      <w:color w:val="00000A"/>
      <w:sz w:val="20"/>
      <w:szCs w:val="20"/>
      <w:lang w:val="ru-RU" w:eastAsia="ru-RU" w:bidi="ar-SA"/>
    </w:rPr>
  </w:style>
  <w:style w:type="paragraph" w:styleId="Normal2" w:customStyle="1">
    <w:name w:val="Normal Знак Знак"/>
    <w:qFormat/>
    <w:rsid w:val="00ea4301"/>
    <w:pPr>
      <w:widowControl/>
      <w:suppressAutoHyphens w:val="true"/>
      <w:bidi w:val="0"/>
      <w:spacing w:lineRule="auto" w:line="240" w:before="100" w:after="100"/>
      <w:jc w:val="both"/>
    </w:pPr>
    <w:rPr>
      <w:rFonts w:ascii="Times New Roman" w:hAnsi="Times New Roman" w:eastAsia="Times New Roman" w:cs="Times New Roman"/>
      <w:color w:val="00000A"/>
      <w:sz w:val="24"/>
      <w:szCs w:val="20"/>
      <w:lang w:val="ru-RU" w:eastAsia="ar-SA" w:bidi="ar-SA"/>
    </w:rPr>
  </w:style>
  <w:style w:type="paragraph" w:styleId="Text" w:customStyle="1">
    <w:name w:val="text"/>
    <w:basedOn w:val="Default"/>
    <w:next w:val="Default"/>
    <w:qFormat/>
    <w:rsid w:val="00ea4301"/>
    <w:pPr>
      <w:spacing w:before="28" w:after="28"/>
    </w:pPr>
    <w:rPr>
      <w:rFonts w:ascii="Arial" w:hAnsi="Arial" w:eastAsia="Times New Roman"/>
      <w:color w:val="00000A"/>
      <w:lang w:eastAsia="ru-RU"/>
    </w:rPr>
  </w:style>
  <w:style w:type="paragraph" w:styleId="FR2" w:customStyle="1">
    <w:name w:val="FR2"/>
    <w:qFormat/>
    <w:rsid w:val="00ea4301"/>
    <w:pPr>
      <w:widowControl w:val="false"/>
      <w:overflowPunct w:val="false"/>
      <w:bidi w:val="0"/>
      <w:spacing w:lineRule="auto" w:line="240" w:before="0" w:after="0"/>
      <w:ind w:firstLine="560"/>
      <w:jc w:val="both"/>
      <w:textAlignment w:val="baseline"/>
    </w:pPr>
    <w:rPr>
      <w:rFonts w:ascii="Times New Roman" w:hAnsi="Times New Roman" w:eastAsia="Times New Roman" w:cs="Times New Roman"/>
      <w:color w:val="00000A"/>
      <w:sz w:val="28"/>
      <w:szCs w:val="20"/>
      <w:lang w:val="ru-RU" w:eastAsia="ru-RU" w:bidi="ar-SA"/>
    </w:rPr>
  </w:style>
  <w:style w:type="paragraph" w:styleId="Style87" w:customStyle="1">
    <w:name w:val="Комментарий"/>
    <w:basedOn w:val="Normal"/>
    <w:qFormat/>
    <w:rsid w:val="00ea4301"/>
    <w:pPr>
      <w:widowControl w:val="false"/>
      <w:spacing w:lineRule="auto" w:line="240" w:before="0" w:after="0"/>
      <w:ind w:left="170" w:hanging="0"/>
      <w:jc w:val="both"/>
    </w:pPr>
    <w:rPr>
      <w:rFonts w:ascii="Arial" w:hAnsi="Arial" w:eastAsia="Times New Roman" w:cs="Times New Roman"/>
      <w:i/>
      <w:iCs/>
      <w:color w:val="800080"/>
      <w:sz w:val="24"/>
      <w:szCs w:val="24"/>
      <w:lang w:eastAsia="ru-RU"/>
    </w:rPr>
  </w:style>
  <w:style w:type="paragraph" w:styleId="Style88" w:customStyle="1">
    <w:name w:val="Таблицы (моноширинный)"/>
    <w:basedOn w:val="Normal"/>
    <w:qFormat/>
    <w:rsid w:val="00ea4301"/>
    <w:pPr>
      <w:widowControl w:val="false"/>
      <w:spacing w:lineRule="auto" w:line="240" w:before="0" w:after="0"/>
      <w:jc w:val="both"/>
    </w:pPr>
    <w:rPr>
      <w:rFonts w:ascii="Courier New" w:hAnsi="Courier New" w:eastAsia="Times New Roman" w:cs="Courier New"/>
      <w:sz w:val="24"/>
      <w:szCs w:val="24"/>
      <w:lang w:eastAsia="ru-RU"/>
    </w:rPr>
  </w:style>
  <w:style w:type="paragraph" w:styleId="116" w:customStyle="1">
    <w:name w:val="Основной текст с отступом1"/>
    <w:basedOn w:val="Normal"/>
    <w:qFormat/>
    <w:rsid w:val="00ea4301"/>
    <w:pPr>
      <w:widowControl w:val="false"/>
      <w:tabs>
        <w:tab w:val="left" w:pos="3600" w:leader="none"/>
      </w:tabs>
      <w:suppressAutoHyphens w:val="true"/>
      <w:overflowPunct w:val="false"/>
      <w:spacing w:lineRule="auto" w:line="240" w:before="0" w:after="0"/>
      <w:ind w:left="3600" w:hanging="2700"/>
      <w:textAlignment w:val="baseline"/>
    </w:pPr>
    <w:rPr>
      <w:rFonts w:ascii="Times New Roman" w:hAnsi="Times New Roman" w:eastAsia="Times New Roman" w:cs="Times New Roman"/>
      <w:sz w:val="28"/>
      <w:szCs w:val="20"/>
      <w:lang w:eastAsia="ar-SA"/>
    </w:rPr>
  </w:style>
  <w:style w:type="paragraph" w:styleId="Western" w:customStyle="1">
    <w:name w:val="western"/>
    <w:basedOn w:val="Normal"/>
    <w:qFormat/>
    <w:rsid w:val="00ea4301"/>
    <w:pPr>
      <w:spacing w:lineRule="auto" w:line="240" w:beforeAutospacing="1" w:afterAutospacing="1"/>
    </w:pPr>
    <w:rPr>
      <w:rFonts w:ascii="Times New Roman" w:hAnsi="Times New Roman" w:eastAsia="Times New Roman" w:cs="Times New Roman"/>
      <w:sz w:val="24"/>
      <w:szCs w:val="24"/>
      <w:lang w:eastAsia="ru-RU"/>
    </w:rPr>
  </w:style>
  <w:style w:type="paragraph" w:styleId="219" w:customStyle="1">
    <w:name w:val="Обычный2"/>
    <w:qFormat/>
    <w:rsid w:val="00ea4301"/>
    <w:pPr>
      <w:widowControl w:val="false"/>
      <w:suppressAutoHyphens w:val="true"/>
      <w:overflowPunct w:val="false"/>
      <w:bidi w:val="0"/>
      <w:spacing w:lineRule="auto" w:line="240" w:before="0" w:after="0"/>
      <w:jc w:val="left"/>
    </w:pPr>
    <w:rPr>
      <w:rFonts w:ascii="Times New Roman" w:hAnsi="Times New Roman" w:eastAsia="Times New Roman" w:cs="Times New Roman"/>
      <w:color w:val="00000A"/>
      <w:sz w:val="20"/>
      <w:szCs w:val="20"/>
      <w:lang w:val="ru-RU" w:eastAsia="ar-SA" w:bidi="ar-SA"/>
    </w:rPr>
  </w:style>
  <w:style w:type="paragraph" w:styleId="117" w:customStyle="1">
    <w:name w:val="Знак Знак Знак1 Знак"/>
    <w:basedOn w:val="Normal"/>
    <w:qFormat/>
    <w:rsid w:val="00ea4301"/>
    <w:pPr>
      <w:spacing w:lineRule="auto" w:line="240" w:beforeAutospacing="1" w:afterAutospacing="1"/>
    </w:pPr>
    <w:rPr>
      <w:rFonts w:ascii="Tahoma" w:hAnsi="Tahoma" w:eastAsia="Times New Roman" w:cs="Times New Roman"/>
      <w:sz w:val="20"/>
      <w:szCs w:val="20"/>
      <w:lang w:val="en-US"/>
    </w:rPr>
  </w:style>
  <w:style w:type="paragraph" w:styleId="39" w:customStyle="1">
    <w:name w:val="Обычный3"/>
    <w:qFormat/>
    <w:rsid w:val="00ea4301"/>
    <w:pPr>
      <w:widowControl w:val="false"/>
      <w:suppressAutoHyphens w:val="true"/>
      <w:overflowPunct w:val="false"/>
      <w:bidi w:val="0"/>
      <w:spacing w:lineRule="auto" w:line="240" w:before="0" w:after="0"/>
      <w:jc w:val="left"/>
    </w:pPr>
    <w:rPr>
      <w:rFonts w:ascii="Times New Roman" w:hAnsi="Times New Roman" w:eastAsia="Times New Roman" w:cs="Times New Roman"/>
      <w:color w:val="00000A"/>
      <w:sz w:val="20"/>
      <w:szCs w:val="20"/>
      <w:lang w:val="ru-RU" w:eastAsia="ar-SA" w:bidi="ar-SA"/>
    </w:rPr>
  </w:style>
  <w:style w:type="paragraph" w:styleId="21111" w:customStyle="1">
    <w:name w:val="Знак2 Знак Знак1 Знак1 Знак Знак Знак Знак Знак Знак Знак Знак Знак Знак Знак Знак1"/>
    <w:basedOn w:val="Normal"/>
    <w:qFormat/>
    <w:rsid w:val="00ea4301"/>
    <w:pPr>
      <w:spacing w:lineRule="exact" w:line="240"/>
    </w:pPr>
    <w:rPr>
      <w:rFonts w:ascii="Verdana" w:hAnsi="Verdana" w:eastAsia="Times New Roman" w:cs="Times New Roman"/>
      <w:sz w:val="20"/>
      <w:szCs w:val="20"/>
      <w:lang w:val="en-US"/>
    </w:rPr>
  </w:style>
  <w:style w:type="paragraph" w:styleId="Index1">
    <w:name w:val="index 1"/>
    <w:basedOn w:val="Normal"/>
    <w:autoRedefine/>
    <w:qFormat/>
    <w:rsid w:val="00ea4301"/>
    <w:pPr>
      <w:spacing w:lineRule="auto" w:line="240" w:before="0" w:after="0"/>
      <w:ind w:left="240" w:hanging="240"/>
    </w:pPr>
    <w:rPr>
      <w:rFonts w:ascii="Times New Roman" w:hAnsi="Times New Roman" w:eastAsia="Times New Roman" w:cs="Times New Roman"/>
      <w:sz w:val="24"/>
      <w:szCs w:val="24"/>
      <w:lang w:eastAsia="ru-RU"/>
    </w:rPr>
  </w:style>
  <w:style w:type="paragraph" w:styleId="Index2">
    <w:name w:val="index 2"/>
    <w:basedOn w:val="Normal"/>
    <w:autoRedefine/>
    <w:qFormat/>
    <w:rsid w:val="00ea4301"/>
    <w:pPr>
      <w:spacing w:lineRule="auto" w:line="240" w:before="0" w:after="0"/>
      <w:ind w:left="480" w:hanging="240"/>
    </w:pPr>
    <w:rPr>
      <w:rFonts w:ascii="Times New Roman" w:hAnsi="Times New Roman" w:eastAsia="Times New Roman" w:cs="Times New Roman"/>
      <w:sz w:val="24"/>
      <w:szCs w:val="24"/>
      <w:lang w:eastAsia="ru-RU"/>
    </w:rPr>
  </w:style>
  <w:style w:type="paragraph" w:styleId="Index3">
    <w:name w:val="index 3"/>
    <w:basedOn w:val="Normal"/>
    <w:autoRedefine/>
    <w:qFormat/>
    <w:rsid w:val="00ea4301"/>
    <w:pPr>
      <w:spacing w:lineRule="auto" w:line="240" w:before="0" w:after="0"/>
      <w:ind w:left="720" w:hanging="240"/>
    </w:pPr>
    <w:rPr>
      <w:rFonts w:ascii="Times New Roman" w:hAnsi="Times New Roman" w:eastAsia="Times New Roman" w:cs="Times New Roman"/>
      <w:sz w:val="24"/>
      <w:szCs w:val="24"/>
      <w:lang w:eastAsia="ru-RU"/>
    </w:rPr>
  </w:style>
  <w:style w:type="paragraph" w:styleId="Index4">
    <w:name w:val="index 4"/>
    <w:basedOn w:val="Normal"/>
    <w:autoRedefine/>
    <w:qFormat/>
    <w:rsid w:val="00ea4301"/>
    <w:pPr>
      <w:spacing w:lineRule="auto" w:line="240" w:before="0" w:after="0"/>
      <w:ind w:left="960" w:hanging="240"/>
    </w:pPr>
    <w:rPr>
      <w:rFonts w:ascii="Times New Roman" w:hAnsi="Times New Roman" w:eastAsia="Times New Roman" w:cs="Times New Roman"/>
      <w:sz w:val="24"/>
      <w:szCs w:val="24"/>
      <w:lang w:eastAsia="ru-RU"/>
    </w:rPr>
  </w:style>
  <w:style w:type="paragraph" w:styleId="Index5">
    <w:name w:val="index 5"/>
    <w:basedOn w:val="Normal"/>
    <w:autoRedefine/>
    <w:qFormat/>
    <w:rsid w:val="00ea4301"/>
    <w:pPr>
      <w:spacing w:lineRule="auto" w:line="240" w:before="0" w:after="0"/>
      <w:ind w:left="1200" w:hanging="240"/>
    </w:pPr>
    <w:rPr>
      <w:rFonts w:ascii="Times New Roman" w:hAnsi="Times New Roman" w:eastAsia="Times New Roman" w:cs="Times New Roman"/>
      <w:sz w:val="24"/>
      <w:szCs w:val="24"/>
      <w:lang w:eastAsia="ru-RU"/>
    </w:rPr>
  </w:style>
  <w:style w:type="paragraph" w:styleId="Index6">
    <w:name w:val="index 6"/>
    <w:basedOn w:val="Normal"/>
    <w:autoRedefine/>
    <w:qFormat/>
    <w:rsid w:val="00ea4301"/>
    <w:pPr>
      <w:spacing w:lineRule="auto" w:line="240" w:before="0" w:after="0"/>
      <w:ind w:left="1440" w:hanging="240"/>
    </w:pPr>
    <w:rPr>
      <w:rFonts w:ascii="Times New Roman" w:hAnsi="Times New Roman" w:eastAsia="Times New Roman" w:cs="Times New Roman"/>
      <w:sz w:val="24"/>
      <w:szCs w:val="24"/>
      <w:lang w:eastAsia="ru-RU"/>
    </w:rPr>
  </w:style>
  <w:style w:type="paragraph" w:styleId="Index7">
    <w:name w:val="index 7"/>
    <w:basedOn w:val="Normal"/>
    <w:autoRedefine/>
    <w:qFormat/>
    <w:rsid w:val="00ea4301"/>
    <w:pPr>
      <w:spacing w:lineRule="auto" w:line="240" w:before="0" w:after="0"/>
      <w:ind w:left="1680" w:hanging="240"/>
    </w:pPr>
    <w:rPr>
      <w:rFonts w:ascii="Times New Roman" w:hAnsi="Times New Roman" w:eastAsia="Times New Roman" w:cs="Times New Roman"/>
      <w:sz w:val="24"/>
      <w:szCs w:val="24"/>
      <w:lang w:eastAsia="ru-RU"/>
    </w:rPr>
  </w:style>
  <w:style w:type="paragraph" w:styleId="Index8">
    <w:name w:val="index 8"/>
    <w:basedOn w:val="Normal"/>
    <w:autoRedefine/>
    <w:qFormat/>
    <w:rsid w:val="00ea4301"/>
    <w:pPr>
      <w:spacing w:lineRule="auto" w:line="240" w:before="0" w:after="0"/>
      <w:ind w:left="1920" w:hanging="240"/>
    </w:pPr>
    <w:rPr>
      <w:rFonts w:ascii="Times New Roman" w:hAnsi="Times New Roman" w:eastAsia="Times New Roman" w:cs="Times New Roman"/>
      <w:sz w:val="24"/>
      <w:szCs w:val="24"/>
      <w:lang w:eastAsia="ru-RU"/>
    </w:rPr>
  </w:style>
  <w:style w:type="paragraph" w:styleId="Index9">
    <w:name w:val="index 9"/>
    <w:basedOn w:val="Normal"/>
    <w:autoRedefine/>
    <w:qFormat/>
    <w:rsid w:val="00ea4301"/>
    <w:pPr>
      <w:spacing w:lineRule="auto" w:line="240" w:before="0" w:after="0"/>
      <w:ind w:left="2160" w:hanging="240"/>
    </w:pPr>
    <w:rPr>
      <w:rFonts w:ascii="Times New Roman" w:hAnsi="Times New Roman" w:eastAsia="Times New Roman" w:cs="Times New Roman"/>
      <w:sz w:val="24"/>
      <w:szCs w:val="24"/>
      <w:lang w:eastAsia="ru-RU"/>
    </w:rPr>
  </w:style>
  <w:style w:type="paragraph" w:styleId="310">
    <w:name w:val="TOC 3"/>
    <w:basedOn w:val="Normal"/>
    <w:autoRedefine/>
    <w:uiPriority w:val="39"/>
    <w:unhideWhenUsed/>
    <w:qFormat/>
    <w:rsid w:val="00ea4301"/>
    <w:pPr>
      <w:spacing w:lineRule="auto" w:line="240" w:before="0" w:after="0"/>
      <w:ind w:left="480" w:hanging="0"/>
    </w:pPr>
    <w:rPr>
      <w:rFonts w:eastAsia="Times New Roman" w:cs="Courier New"/>
      <w:i/>
      <w:iCs/>
      <w:color w:val="000000"/>
      <w:sz w:val="20"/>
      <w:szCs w:val="20"/>
      <w:lang w:eastAsia="ru-RU"/>
    </w:rPr>
  </w:style>
  <w:style w:type="paragraph" w:styleId="45">
    <w:name w:val="TOC 4"/>
    <w:basedOn w:val="Normal"/>
    <w:autoRedefine/>
    <w:uiPriority w:val="39"/>
    <w:unhideWhenUsed/>
    <w:rsid w:val="00ea4301"/>
    <w:pPr>
      <w:spacing w:lineRule="auto" w:line="240" w:before="0" w:after="0"/>
      <w:ind w:left="720" w:hanging="0"/>
    </w:pPr>
    <w:rPr>
      <w:rFonts w:eastAsia="Times New Roman" w:cs="Courier New"/>
      <w:color w:val="000000"/>
      <w:sz w:val="18"/>
      <w:szCs w:val="18"/>
      <w:lang w:eastAsia="ru-RU"/>
    </w:rPr>
  </w:style>
  <w:style w:type="paragraph" w:styleId="56">
    <w:name w:val="TOC 5"/>
    <w:basedOn w:val="Normal"/>
    <w:autoRedefine/>
    <w:uiPriority w:val="39"/>
    <w:unhideWhenUsed/>
    <w:rsid w:val="00ea4301"/>
    <w:pPr>
      <w:spacing w:lineRule="auto" w:line="240" w:before="0" w:after="0"/>
      <w:ind w:left="960" w:hanging="0"/>
    </w:pPr>
    <w:rPr>
      <w:rFonts w:eastAsia="Times New Roman" w:cs="Courier New"/>
      <w:color w:val="000000"/>
      <w:sz w:val="18"/>
      <w:szCs w:val="18"/>
      <w:lang w:eastAsia="ru-RU"/>
    </w:rPr>
  </w:style>
  <w:style w:type="paragraph" w:styleId="63">
    <w:name w:val="TOC 6"/>
    <w:basedOn w:val="Normal"/>
    <w:autoRedefine/>
    <w:uiPriority w:val="39"/>
    <w:unhideWhenUsed/>
    <w:rsid w:val="00ea4301"/>
    <w:pPr>
      <w:spacing w:lineRule="auto" w:line="240" w:before="0" w:after="0"/>
      <w:ind w:left="1200" w:hanging="0"/>
    </w:pPr>
    <w:rPr>
      <w:rFonts w:eastAsia="Times New Roman" w:cs="Courier New"/>
      <w:color w:val="000000"/>
      <w:sz w:val="18"/>
      <w:szCs w:val="18"/>
      <w:lang w:eastAsia="ru-RU"/>
    </w:rPr>
  </w:style>
  <w:style w:type="paragraph" w:styleId="72">
    <w:name w:val="TOC 7"/>
    <w:basedOn w:val="Normal"/>
    <w:autoRedefine/>
    <w:uiPriority w:val="39"/>
    <w:unhideWhenUsed/>
    <w:rsid w:val="00ea4301"/>
    <w:pPr>
      <w:spacing w:lineRule="auto" w:line="240" w:before="0" w:after="0"/>
      <w:ind w:left="1440" w:hanging="0"/>
    </w:pPr>
    <w:rPr>
      <w:rFonts w:eastAsia="Times New Roman" w:cs="Courier New"/>
      <w:color w:val="000000"/>
      <w:sz w:val="18"/>
      <w:szCs w:val="18"/>
      <w:lang w:eastAsia="ru-RU"/>
    </w:rPr>
  </w:style>
  <w:style w:type="paragraph" w:styleId="82">
    <w:name w:val="TOC 8"/>
    <w:basedOn w:val="Normal"/>
    <w:autoRedefine/>
    <w:uiPriority w:val="39"/>
    <w:unhideWhenUsed/>
    <w:rsid w:val="00ea4301"/>
    <w:pPr>
      <w:spacing w:lineRule="auto" w:line="240" w:before="0" w:after="0"/>
      <w:ind w:left="1680" w:hanging="0"/>
    </w:pPr>
    <w:rPr>
      <w:rFonts w:eastAsia="Times New Roman" w:cs="Courier New"/>
      <w:color w:val="000000"/>
      <w:sz w:val="18"/>
      <w:szCs w:val="18"/>
      <w:lang w:eastAsia="ru-RU"/>
    </w:rPr>
  </w:style>
  <w:style w:type="paragraph" w:styleId="92">
    <w:name w:val="TOC 9"/>
    <w:basedOn w:val="Normal"/>
    <w:autoRedefine/>
    <w:uiPriority w:val="39"/>
    <w:unhideWhenUsed/>
    <w:rsid w:val="00ea4301"/>
    <w:pPr>
      <w:spacing w:lineRule="auto" w:line="240" w:before="0" w:after="0"/>
      <w:ind w:left="1920" w:hanging="0"/>
    </w:pPr>
    <w:rPr>
      <w:rFonts w:eastAsia="Times New Roman" w:cs="Courier New"/>
      <w:color w:val="000000"/>
      <w:sz w:val="18"/>
      <w:szCs w:val="18"/>
      <w:lang w:eastAsia="ru-RU"/>
    </w:rPr>
  </w:style>
  <w:style w:type="paragraph" w:styleId="NormalIndent">
    <w:name w:val="Normal Indent"/>
    <w:basedOn w:val="Normal"/>
    <w:qFormat/>
    <w:rsid w:val="00ea4301"/>
    <w:pPr>
      <w:spacing w:lineRule="auto" w:line="360" w:before="0" w:after="0"/>
      <w:ind w:left="1440" w:firstLine="709"/>
      <w:jc w:val="both"/>
    </w:pPr>
    <w:rPr>
      <w:rFonts w:ascii="Arial" w:hAnsi="Arial" w:eastAsia="Times New Roman" w:cs="Arial"/>
      <w:spacing w:val="-5"/>
      <w:sz w:val="20"/>
      <w:szCs w:val="20"/>
    </w:rPr>
  </w:style>
  <w:style w:type="paragraph" w:styleId="Footnotetext">
    <w:name w:val="footnote text"/>
    <w:basedOn w:val="Normal"/>
    <w:link w:val="affff7"/>
    <w:uiPriority w:val="99"/>
    <w:qFormat/>
    <w:rsid w:val="00ea4301"/>
    <w:pPr>
      <w:spacing w:lineRule="auto" w:line="360" w:before="120" w:after="120"/>
      <w:jc w:val="both"/>
    </w:pPr>
    <w:rPr>
      <w:rFonts w:ascii="Arial" w:hAnsi="Arial" w:eastAsia="Times New Roman" w:cs="Times New Roman"/>
      <w:sz w:val="20"/>
      <w:szCs w:val="20"/>
      <w:lang w:eastAsia="ru-RU"/>
    </w:rPr>
  </w:style>
  <w:style w:type="paragraph" w:styleId="Annotationtext">
    <w:name w:val="annotation text"/>
    <w:basedOn w:val="Normal"/>
    <w:link w:val="affff9"/>
    <w:uiPriority w:val="99"/>
    <w:semiHidden/>
    <w:qFormat/>
    <w:rsid w:val="00ea4301"/>
    <w:pPr>
      <w:spacing w:lineRule="auto" w:line="240" w:before="0" w:after="0"/>
    </w:pPr>
    <w:rPr>
      <w:rFonts w:ascii="Times New Roman" w:hAnsi="Times New Roman" w:eastAsia="Times New Roman" w:cs="Times New Roman"/>
      <w:sz w:val="20"/>
      <w:szCs w:val="20"/>
      <w:lang w:eastAsia="ru-RU"/>
    </w:rPr>
  </w:style>
  <w:style w:type="paragraph" w:styleId="Style89">
    <w:name w:val="Header"/>
    <w:basedOn w:val="Normal"/>
    <w:link w:val="affffb"/>
    <w:uiPriority w:val="99"/>
    <w:unhideWhenUsed/>
    <w:rsid w:val="00ea4301"/>
    <w:pPr>
      <w:tabs>
        <w:tab w:val="center" w:pos="4677" w:leader="none"/>
        <w:tab w:val="right" w:pos="9355" w:leader="none"/>
      </w:tabs>
      <w:spacing w:lineRule="auto" w:line="276" w:before="0" w:after="200"/>
    </w:pPr>
    <w:rPr>
      <w:rFonts w:ascii="Calibri" w:hAnsi="Calibri" w:eastAsia="Calibri" w:cs="Times New Roman"/>
    </w:rPr>
  </w:style>
  <w:style w:type="paragraph" w:styleId="Style90">
    <w:name w:val="Footer"/>
    <w:basedOn w:val="Normal"/>
    <w:link w:val="affffd"/>
    <w:uiPriority w:val="99"/>
    <w:unhideWhenUsed/>
    <w:rsid w:val="00ea4301"/>
    <w:pPr>
      <w:tabs>
        <w:tab w:val="center" w:pos="4677" w:leader="none"/>
        <w:tab w:val="right" w:pos="9355" w:leader="none"/>
      </w:tabs>
      <w:spacing w:lineRule="auto" w:line="276" w:before="0" w:after="200"/>
    </w:pPr>
    <w:rPr>
      <w:rFonts w:ascii="Calibri" w:hAnsi="Calibri" w:eastAsia="Calibri" w:cs="Times New Roman"/>
    </w:rPr>
  </w:style>
  <w:style w:type="paragraph" w:styleId="Indexheading">
    <w:name w:val="index heading"/>
    <w:basedOn w:val="Normal"/>
    <w:qFormat/>
    <w:rsid w:val="00ea4301"/>
    <w:pPr>
      <w:spacing w:lineRule="auto" w:line="240" w:before="0" w:after="0"/>
    </w:pPr>
    <w:rPr>
      <w:rFonts w:ascii="Cambria" w:hAnsi="Cambria" w:eastAsia="Times New Roman" w:cs="Times New Roman"/>
      <w:b/>
      <w:bCs/>
      <w:sz w:val="24"/>
      <w:szCs w:val="24"/>
      <w:lang w:eastAsia="ru-RU"/>
    </w:rPr>
  </w:style>
  <w:style w:type="paragraph" w:styleId="Tableoffigures">
    <w:name w:val="table of figures"/>
    <w:basedOn w:val="Normal"/>
    <w:qFormat/>
    <w:rsid w:val="00ea4301"/>
    <w:pPr>
      <w:spacing w:lineRule="auto" w:line="240" w:before="0" w:after="0"/>
    </w:pPr>
    <w:rPr>
      <w:rFonts w:ascii="Times New Roman" w:hAnsi="Times New Roman" w:eastAsia="Times New Roman" w:cs="Times New Roman"/>
      <w:sz w:val="24"/>
      <w:szCs w:val="24"/>
      <w:lang w:eastAsia="ru-RU"/>
    </w:rPr>
  </w:style>
  <w:style w:type="paragraph" w:styleId="Envelopeaddress">
    <w:name w:val="envelope address"/>
    <w:basedOn w:val="Normal"/>
    <w:qFormat/>
    <w:rsid w:val="00ea4301"/>
    <w:pPr>
      <w:spacing w:lineRule="auto" w:line="360" w:before="0" w:after="0"/>
      <w:ind w:left="2880" w:firstLine="709"/>
      <w:jc w:val="both"/>
    </w:pPr>
    <w:rPr>
      <w:rFonts w:ascii="Arial" w:hAnsi="Arial" w:eastAsia="Times New Roman" w:cs="Arial"/>
      <w:spacing w:val="-5"/>
      <w:sz w:val="28"/>
      <w:szCs w:val="28"/>
    </w:rPr>
  </w:style>
  <w:style w:type="paragraph" w:styleId="Envelopereturn">
    <w:name w:val="envelope return"/>
    <w:basedOn w:val="Normal"/>
    <w:qFormat/>
    <w:rsid w:val="00ea4301"/>
    <w:pPr>
      <w:spacing w:lineRule="auto" w:line="360" w:before="0" w:after="0"/>
      <w:ind w:left="1080" w:firstLine="709"/>
      <w:jc w:val="both"/>
    </w:pPr>
    <w:rPr>
      <w:rFonts w:ascii="Arial" w:hAnsi="Arial" w:eastAsia="Times New Roman" w:cs="Arial"/>
      <w:spacing w:val="-5"/>
      <w:sz w:val="20"/>
      <w:szCs w:val="20"/>
    </w:rPr>
  </w:style>
  <w:style w:type="paragraph" w:styleId="Endnotetext">
    <w:name w:val="endnote text"/>
    <w:basedOn w:val="Normal"/>
    <w:link w:val="afffff7"/>
    <w:uiPriority w:val="99"/>
    <w:qFormat/>
    <w:rsid w:val="00ea4301"/>
    <w:pPr>
      <w:spacing w:lineRule="auto" w:line="360" w:before="0" w:after="0"/>
      <w:ind w:firstLine="680"/>
      <w:jc w:val="both"/>
    </w:pPr>
    <w:rPr>
      <w:rFonts w:ascii="Times New Roman" w:hAnsi="Times New Roman" w:eastAsia="Times New Roman" w:cs="Times New Roman"/>
      <w:sz w:val="20"/>
      <w:szCs w:val="20"/>
      <w:lang w:eastAsia="ru-RU"/>
    </w:rPr>
  </w:style>
  <w:style w:type="paragraph" w:styleId="Tableofauthorities">
    <w:name w:val="table of authorities"/>
    <w:basedOn w:val="Normal"/>
    <w:qFormat/>
    <w:rsid w:val="00ea4301"/>
    <w:pPr>
      <w:spacing w:lineRule="auto" w:line="240" w:before="0" w:after="0"/>
      <w:ind w:left="240" w:hanging="240"/>
    </w:pPr>
    <w:rPr>
      <w:rFonts w:ascii="Times New Roman" w:hAnsi="Times New Roman" w:eastAsia="Times New Roman" w:cs="Times New Roman"/>
      <w:sz w:val="24"/>
      <w:szCs w:val="24"/>
      <w:lang w:eastAsia="ru-RU"/>
    </w:rPr>
  </w:style>
  <w:style w:type="paragraph" w:styleId="Macro">
    <w:name w:val="macro"/>
    <w:link w:val="afffffa"/>
    <w:qFormat/>
    <w:rsid w:val="00ea4301"/>
    <w:pPr>
      <w:widowControl/>
      <w:tabs>
        <w:tab w:val="left" w:pos="480" w:leader="none"/>
        <w:tab w:val="left" w:pos="960" w:leader="none"/>
        <w:tab w:val="left" w:pos="1440" w:leader="none"/>
        <w:tab w:val="left" w:pos="1920" w:leader="none"/>
        <w:tab w:val="left" w:pos="2400" w:leader="none"/>
        <w:tab w:val="left" w:pos="2880" w:leader="none"/>
        <w:tab w:val="left" w:pos="3360" w:leader="none"/>
        <w:tab w:val="left" w:pos="3840" w:leader="none"/>
        <w:tab w:val="left" w:pos="4320" w:leader="none"/>
      </w:tabs>
      <w:bidi w:val="0"/>
      <w:spacing w:lineRule="auto" w:line="240" w:before="0" w:after="0"/>
      <w:jc w:val="left"/>
    </w:pPr>
    <w:rPr>
      <w:rFonts w:ascii="Courier New" w:hAnsi="Courier New" w:eastAsia="Times New Roman" w:cs="Courier New"/>
      <w:color w:val="00000A"/>
      <w:sz w:val="20"/>
      <w:szCs w:val="20"/>
      <w:lang w:val="ru-RU" w:eastAsia="ru-RU" w:bidi="ar-SA"/>
    </w:rPr>
  </w:style>
  <w:style w:type="paragraph" w:styleId="Toaheading">
    <w:name w:val="toa heading"/>
    <w:basedOn w:val="Normal"/>
    <w:semiHidden/>
    <w:qFormat/>
    <w:rsid w:val="00ea4301"/>
    <w:pPr>
      <w:spacing w:lineRule="auto" w:line="240" w:before="40" w:after="20"/>
      <w:jc w:val="center"/>
    </w:pPr>
    <w:rPr>
      <w:rFonts w:ascii="Times New Roman" w:hAnsi="Times New Roman" w:eastAsia="Times New Roman" w:cs="Times New Roman"/>
      <w:b/>
      <w:szCs w:val="20"/>
      <w:lang w:eastAsia="ru-RU"/>
    </w:rPr>
  </w:style>
  <w:style w:type="paragraph" w:styleId="ListNumber">
    <w:name w:val="List Number"/>
    <w:basedOn w:val="Style52"/>
    <w:qFormat/>
    <w:rsid w:val="00ea4301"/>
    <w:pPr>
      <w:spacing w:lineRule="atLeast" w:line="240" w:before="0" w:after="240"/>
      <w:ind w:left="2880" w:hanging="360"/>
    </w:pPr>
    <w:rPr>
      <w:rFonts w:ascii="Arial" w:hAnsi="Arial" w:eastAsia="Times New Roman" w:cs="Arial"/>
      <w:spacing w:val="-5"/>
      <w:sz w:val="20"/>
      <w:szCs w:val="20"/>
      <w:lang w:eastAsia="en-US"/>
    </w:rPr>
  </w:style>
  <w:style w:type="paragraph" w:styleId="ListBullet3">
    <w:name w:val="List Bullet 3"/>
    <w:basedOn w:val="ListBullet"/>
    <w:autoRedefine/>
    <w:qFormat/>
    <w:rsid w:val="00ea4301"/>
    <w:pPr>
      <w:tabs>
        <w:tab w:val="left" w:pos="360" w:leader="none"/>
      </w:tabs>
      <w:spacing w:lineRule="atLeast" w:line="240" w:before="0" w:after="240"/>
      <w:ind w:left="2160" w:hanging="360"/>
      <w:contextualSpacing/>
    </w:pPr>
    <w:rPr>
      <w:rFonts w:ascii="Arial" w:hAnsi="Arial" w:eastAsia="Times New Roman" w:cs="Arial"/>
      <w:spacing w:val="-5"/>
      <w:sz w:val="20"/>
      <w:szCs w:val="20"/>
      <w:lang w:eastAsia="en-US"/>
    </w:rPr>
  </w:style>
  <w:style w:type="paragraph" w:styleId="ListBullet4">
    <w:name w:val="List Bullet 4"/>
    <w:basedOn w:val="ListBullet"/>
    <w:autoRedefine/>
    <w:qFormat/>
    <w:rsid w:val="00ea4301"/>
    <w:pPr>
      <w:tabs>
        <w:tab w:val="left" w:pos="360" w:leader="none"/>
      </w:tabs>
      <w:spacing w:lineRule="atLeast" w:line="240" w:before="0" w:after="240"/>
      <w:ind w:left="2520" w:hanging="360"/>
      <w:contextualSpacing/>
    </w:pPr>
    <w:rPr>
      <w:rFonts w:ascii="Arial" w:hAnsi="Arial" w:eastAsia="Times New Roman" w:cs="Arial"/>
      <w:spacing w:val="-5"/>
      <w:sz w:val="20"/>
      <w:szCs w:val="20"/>
      <w:lang w:eastAsia="en-US"/>
    </w:rPr>
  </w:style>
  <w:style w:type="paragraph" w:styleId="ListBullet5">
    <w:name w:val="List Bullet 5"/>
    <w:basedOn w:val="ListBullet"/>
    <w:autoRedefine/>
    <w:qFormat/>
    <w:rsid w:val="00ea4301"/>
    <w:pPr>
      <w:tabs>
        <w:tab w:val="left" w:pos="360" w:leader="none"/>
      </w:tabs>
      <w:spacing w:lineRule="atLeast" w:line="240" w:before="0" w:after="240"/>
      <w:ind w:left="2880" w:hanging="360"/>
      <w:contextualSpacing/>
    </w:pPr>
    <w:rPr>
      <w:rFonts w:ascii="Arial" w:hAnsi="Arial" w:eastAsia="Times New Roman" w:cs="Arial"/>
      <w:spacing w:val="-5"/>
      <w:sz w:val="20"/>
      <w:szCs w:val="20"/>
      <w:lang w:eastAsia="en-US"/>
    </w:rPr>
  </w:style>
  <w:style w:type="paragraph" w:styleId="ListBullet2">
    <w:name w:val="List Bullet 2"/>
    <w:basedOn w:val="ListBullet"/>
    <w:autoRedefine/>
    <w:qFormat/>
    <w:rsid w:val="00ea4301"/>
    <w:pPr>
      <w:tabs>
        <w:tab w:val="left" w:pos="360" w:leader="none"/>
      </w:tabs>
      <w:spacing w:lineRule="atLeast" w:line="240" w:before="0" w:after="240"/>
      <w:ind w:left="1800" w:hanging="360"/>
      <w:contextualSpacing/>
    </w:pPr>
    <w:rPr>
      <w:rFonts w:ascii="Arial" w:hAnsi="Arial" w:eastAsia="Times New Roman" w:cs="Arial"/>
      <w:spacing w:val="-5"/>
      <w:sz w:val="20"/>
      <w:szCs w:val="20"/>
      <w:lang w:eastAsia="en-US"/>
    </w:rPr>
  </w:style>
  <w:style w:type="paragraph" w:styleId="ListNumber2">
    <w:name w:val="List Number 2"/>
    <w:basedOn w:val="ListNumber"/>
    <w:qFormat/>
    <w:rsid w:val="00ea4301"/>
    <w:pPr>
      <w:spacing w:lineRule="atLeast" w:line="240" w:beforeAutospacing="0" w:before="0" w:afterAutospacing="0" w:after="240"/>
      <w:ind w:left="1800" w:hanging="360"/>
    </w:pPr>
    <w:rPr>
      <w:rFonts w:ascii="Arial" w:hAnsi="Arial" w:cs="Arial"/>
      <w:spacing w:val="-5"/>
      <w:sz w:val="20"/>
      <w:szCs w:val="20"/>
      <w:lang w:eastAsia="en-US"/>
    </w:rPr>
  </w:style>
  <w:style w:type="paragraph" w:styleId="ListNumber3">
    <w:name w:val="List Number 3"/>
    <w:basedOn w:val="ListNumber"/>
    <w:qFormat/>
    <w:rsid w:val="00ea4301"/>
    <w:pPr>
      <w:tabs>
        <w:tab w:val="left" w:pos="720" w:leader="none"/>
      </w:tabs>
      <w:spacing w:lineRule="atLeast" w:line="240" w:beforeAutospacing="0" w:before="0" w:afterAutospacing="0" w:after="240"/>
      <w:ind w:left="2160" w:firstLine="709"/>
    </w:pPr>
    <w:rPr>
      <w:rFonts w:ascii="Arial" w:hAnsi="Arial" w:cs="Arial"/>
      <w:spacing w:val="-5"/>
      <w:sz w:val="20"/>
      <w:szCs w:val="20"/>
      <w:lang w:eastAsia="en-US"/>
    </w:rPr>
  </w:style>
  <w:style w:type="paragraph" w:styleId="ListNumber4">
    <w:name w:val="List Number 4"/>
    <w:basedOn w:val="ListNumber"/>
    <w:qFormat/>
    <w:rsid w:val="00ea4301"/>
    <w:pPr>
      <w:spacing w:lineRule="atLeast" w:line="240" w:beforeAutospacing="0" w:before="0" w:afterAutospacing="0" w:after="240"/>
      <w:ind w:left="2520" w:hanging="360"/>
    </w:pPr>
    <w:rPr>
      <w:rFonts w:ascii="Arial" w:hAnsi="Arial" w:cs="Arial"/>
      <w:spacing w:val="-5"/>
      <w:sz w:val="20"/>
      <w:szCs w:val="20"/>
      <w:lang w:eastAsia="en-US"/>
    </w:rPr>
  </w:style>
  <w:style w:type="paragraph" w:styleId="ListNumber5">
    <w:name w:val="List Number 5"/>
    <w:basedOn w:val="ListNumber"/>
    <w:qFormat/>
    <w:rsid w:val="00ea4301"/>
    <w:pPr>
      <w:spacing w:lineRule="atLeast" w:line="240" w:beforeAutospacing="0" w:before="0" w:afterAutospacing="0" w:after="240"/>
      <w:ind w:left="2880" w:hanging="360"/>
    </w:pPr>
    <w:rPr>
      <w:rFonts w:ascii="Arial" w:hAnsi="Arial" w:cs="Arial"/>
      <w:spacing w:val="-5"/>
      <w:sz w:val="20"/>
      <w:szCs w:val="20"/>
      <w:lang w:eastAsia="en-US"/>
    </w:rPr>
  </w:style>
  <w:style w:type="paragraph" w:styleId="Style91">
    <w:name w:val="Title"/>
    <w:basedOn w:val="Normal"/>
    <w:link w:val="afffffe"/>
    <w:qFormat/>
    <w:rsid w:val="00ea4301"/>
    <w:pPr>
      <w:pBdr>
        <w:top w:val="single" w:sz="8" w:space="10" w:color="A7BFDE"/>
        <w:bottom w:val="single" w:sz="24" w:space="15" w:color="9BBB59"/>
      </w:pBdr>
      <w:spacing w:lineRule="auto" w:line="360" w:before="0" w:after="0"/>
      <w:ind w:firstLine="680"/>
      <w:jc w:val="center"/>
    </w:pPr>
    <w:rPr>
      <w:rFonts w:ascii="Cambria" w:hAnsi="Cambria" w:eastAsia="Times New Roman" w:cs="Times New Roman"/>
      <w:i/>
      <w:iCs/>
      <w:color w:val="243F60"/>
      <w:sz w:val="60"/>
      <w:szCs w:val="60"/>
      <w:lang w:eastAsia="ru-RU"/>
    </w:rPr>
  </w:style>
  <w:style w:type="paragraph" w:styleId="Closing">
    <w:name w:val="Closing"/>
    <w:basedOn w:val="Normal"/>
    <w:link w:val="affffff0"/>
    <w:qFormat/>
    <w:rsid w:val="00ea4301"/>
    <w:pPr>
      <w:spacing w:lineRule="auto" w:line="360" w:before="0" w:after="0"/>
      <w:ind w:left="4252" w:firstLine="709"/>
      <w:jc w:val="both"/>
    </w:pPr>
    <w:rPr>
      <w:rFonts w:ascii="Arial" w:hAnsi="Arial" w:eastAsia="Times New Roman" w:cs="Times New Roman"/>
      <w:spacing w:val="-5"/>
      <w:sz w:val="20"/>
      <w:szCs w:val="20"/>
    </w:rPr>
  </w:style>
  <w:style w:type="paragraph" w:styleId="Style92">
    <w:name w:val="Signature"/>
    <w:basedOn w:val="Normal"/>
    <w:link w:val="affffff2"/>
    <w:rsid w:val="00ea4301"/>
    <w:pPr>
      <w:spacing w:lineRule="auto" w:line="360" w:before="0" w:after="0"/>
      <w:ind w:left="4252" w:firstLine="709"/>
      <w:jc w:val="both"/>
    </w:pPr>
    <w:rPr>
      <w:rFonts w:ascii="Arial" w:hAnsi="Arial" w:eastAsia="Times New Roman" w:cs="Times New Roman"/>
      <w:spacing w:val="-5"/>
      <w:sz w:val="20"/>
      <w:szCs w:val="20"/>
    </w:rPr>
  </w:style>
  <w:style w:type="paragraph" w:styleId="ListContinue">
    <w:name w:val="List Continue"/>
    <w:basedOn w:val="Style52"/>
    <w:qFormat/>
    <w:rsid w:val="00ea4301"/>
    <w:pPr>
      <w:spacing w:lineRule="atLeast" w:line="240" w:before="0" w:after="240"/>
      <w:ind w:left="1440" w:hanging="0"/>
    </w:pPr>
    <w:rPr>
      <w:rFonts w:ascii="Arial" w:hAnsi="Arial" w:eastAsia="Times New Roman" w:cs="Arial"/>
      <w:spacing w:val="-5"/>
      <w:sz w:val="20"/>
      <w:szCs w:val="20"/>
      <w:lang w:eastAsia="en-US"/>
    </w:rPr>
  </w:style>
  <w:style w:type="paragraph" w:styleId="ListContinue2">
    <w:name w:val="List Continue 2"/>
    <w:basedOn w:val="ListContinue"/>
    <w:qFormat/>
    <w:rsid w:val="00ea4301"/>
    <w:pPr>
      <w:ind w:left="2160" w:hanging="0"/>
    </w:pPr>
    <w:rPr/>
  </w:style>
  <w:style w:type="paragraph" w:styleId="ListContinue3">
    <w:name w:val="List Continue 3"/>
    <w:basedOn w:val="ListContinue"/>
    <w:qFormat/>
    <w:rsid w:val="00ea4301"/>
    <w:pPr>
      <w:ind w:left="2520" w:hanging="0"/>
    </w:pPr>
    <w:rPr/>
  </w:style>
  <w:style w:type="paragraph" w:styleId="ListContinue4">
    <w:name w:val="List Continue 4"/>
    <w:basedOn w:val="ListContinue"/>
    <w:qFormat/>
    <w:rsid w:val="00ea4301"/>
    <w:pPr>
      <w:ind w:left="2880" w:hanging="0"/>
    </w:pPr>
    <w:rPr/>
  </w:style>
  <w:style w:type="paragraph" w:styleId="ListContinue5">
    <w:name w:val="List Continue 5"/>
    <w:basedOn w:val="ListContinue"/>
    <w:qFormat/>
    <w:rsid w:val="00ea4301"/>
    <w:pPr>
      <w:ind w:left="3240" w:hanging="0"/>
    </w:pPr>
    <w:rPr/>
  </w:style>
  <w:style w:type="paragraph" w:styleId="MessageHeader">
    <w:name w:val="Message Header"/>
    <w:basedOn w:val="Style51"/>
    <w:link w:val="affffff5"/>
    <w:qFormat/>
    <w:rsid w:val="00ea4301"/>
    <w:pPr>
      <w:keepLines/>
      <w:tabs>
        <w:tab w:val="left" w:pos="3600" w:leader="none"/>
        <w:tab w:val="left" w:pos="4680" w:leader="none"/>
      </w:tabs>
      <w:spacing w:lineRule="exact" w:line="280"/>
      <w:ind w:left="1080" w:right="2160" w:hanging="1080"/>
    </w:pPr>
    <w:rPr>
      <w:rFonts w:ascii="Arial" w:hAnsi="Arial" w:eastAsia="Times New Roman" w:cs="Times New Roman"/>
      <w:sz w:val="22"/>
      <w:szCs w:val="22"/>
      <w:lang w:eastAsia="en-US"/>
    </w:rPr>
  </w:style>
  <w:style w:type="paragraph" w:styleId="Style93">
    <w:name w:val="Subtitle"/>
    <w:basedOn w:val="Normal"/>
    <w:link w:val="affffff7"/>
    <w:qFormat/>
    <w:rsid w:val="00ea4301"/>
    <w:pPr>
      <w:spacing w:lineRule="auto" w:line="360" w:before="200" w:after="900"/>
      <w:ind w:firstLine="680"/>
      <w:jc w:val="right"/>
    </w:pPr>
    <w:rPr>
      <w:rFonts w:ascii="Times New Roman" w:hAnsi="Times New Roman" w:eastAsia="Times New Roman" w:cs="Times New Roman"/>
      <w:i/>
      <w:iCs/>
      <w:sz w:val="24"/>
      <w:szCs w:val="24"/>
      <w:lang w:eastAsia="ru-RU"/>
    </w:rPr>
  </w:style>
  <w:style w:type="paragraph" w:styleId="Style94">
    <w:name w:val="Salutation"/>
    <w:basedOn w:val="Normal"/>
    <w:link w:val="affffff9"/>
    <w:rsid w:val="00ea4301"/>
    <w:pPr>
      <w:spacing w:lineRule="auto" w:line="360" w:before="0" w:after="0"/>
      <w:ind w:left="1080" w:firstLine="709"/>
      <w:jc w:val="both"/>
    </w:pPr>
    <w:rPr>
      <w:rFonts w:ascii="Arial" w:hAnsi="Arial" w:eastAsia="Times New Roman" w:cs="Times New Roman"/>
      <w:spacing w:val="-5"/>
      <w:sz w:val="20"/>
      <w:szCs w:val="20"/>
    </w:rPr>
  </w:style>
  <w:style w:type="paragraph" w:styleId="Date">
    <w:name w:val="Date"/>
    <w:basedOn w:val="Normal"/>
    <w:link w:val="affffffb"/>
    <w:qFormat/>
    <w:rsid w:val="00ea4301"/>
    <w:pPr>
      <w:spacing w:lineRule="auto" w:line="360" w:before="0" w:after="0"/>
      <w:ind w:left="1080" w:firstLine="709"/>
      <w:jc w:val="both"/>
    </w:pPr>
    <w:rPr>
      <w:rFonts w:ascii="Arial" w:hAnsi="Arial" w:eastAsia="Times New Roman" w:cs="Times New Roman"/>
      <w:spacing w:val="-5"/>
      <w:sz w:val="20"/>
      <w:szCs w:val="20"/>
    </w:rPr>
  </w:style>
  <w:style w:type="paragraph" w:styleId="BodyTextFirstIndent2">
    <w:name w:val="Body Text First Indent 2"/>
    <w:basedOn w:val="Style79"/>
    <w:link w:val="2f2"/>
    <w:qFormat/>
    <w:rsid w:val="00ea4301"/>
    <w:pPr>
      <w:spacing w:before="0" w:after="120"/>
      <w:ind w:left="283" w:firstLine="210"/>
      <w:jc w:val="left"/>
    </w:pPr>
    <w:rPr>
      <w:rFonts w:ascii="Arial" w:hAnsi="Arial" w:eastAsia="Times New Roman" w:cs="Times New Roman"/>
      <w:spacing w:val="-5"/>
    </w:rPr>
  </w:style>
  <w:style w:type="paragraph" w:styleId="NoteHeading">
    <w:name w:val="Note Heading"/>
    <w:basedOn w:val="Normal"/>
    <w:link w:val="afffffff"/>
    <w:qFormat/>
    <w:rsid w:val="00ea4301"/>
    <w:pPr>
      <w:spacing w:lineRule="auto" w:line="360" w:before="0" w:after="0"/>
      <w:ind w:left="1080" w:firstLine="709"/>
      <w:jc w:val="both"/>
    </w:pPr>
    <w:rPr>
      <w:rFonts w:ascii="Arial" w:hAnsi="Arial" w:eastAsia="Times New Roman" w:cs="Times New Roman"/>
      <w:spacing w:val="-5"/>
      <w:sz w:val="20"/>
      <w:szCs w:val="20"/>
    </w:rPr>
  </w:style>
  <w:style w:type="paragraph" w:styleId="BodyText2">
    <w:name w:val="Body Text 2"/>
    <w:basedOn w:val="Normal"/>
    <w:link w:val="2f4"/>
    <w:qFormat/>
    <w:rsid w:val="00ea4301"/>
    <w:pPr>
      <w:spacing w:lineRule="auto" w:line="360" w:before="0" w:after="0"/>
      <w:ind w:firstLine="680"/>
      <w:jc w:val="center"/>
    </w:pPr>
    <w:rPr>
      <w:rFonts w:ascii="Times New Roman" w:hAnsi="Times New Roman" w:eastAsia="Times New Roman" w:cs="Times New Roman"/>
      <w:b/>
      <w:bCs/>
      <w:caps/>
      <w:sz w:val="24"/>
      <w:szCs w:val="24"/>
      <w:lang w:eastAsia="ru-RU"/>
    </w:rPr>
  </w:style>
  <w:style w:type="paragraph" w:styleId="BodyText3">
    <w:name w:val="Body Text 3"/>
    <w:basedOn w:val="Normal"/>
    <w:link w:val="3f"/>
    <w:qFormat/>
    <w:rsid w:val="00ea4301"/>
    <w:pPr>
      <w:spacing w:lineRule="auto" w:line="360" w:before="0" w:after="120"/>
      <w:ind w:firstLine="680"/>
      <w:jc w:val="both"/>
    </w:pPr>
    <w:rPr>
      <w:rFonts w:ascii="Times New Roman" w:hAnsi="Times New Roman" w:eastAsia="Times New Roman" w:cs="Times New Roman"/>
      <w:sz w:val="16"/>
      <w:szCs w:val="16"/>
      <w:lang w:eastAsia="ru-RU"/>
    </w:rPr>
  </w:style>
  <w:style w:type="paragraph" w:styleId="BodyTextIndent2">
    <w:name w:val="Body Text Indent 2"/>
    <w:basedOn w:val="Normal"/>
    <w:link w:val="2f6"/>
    <w:qFormat/>
    <w:rsid w:val="00ea4301"/>
    <w:pPr>
      <w:spacing w:lineRule="auto" w:line="480" w:before="0" w:after="120"/>
      <w:ind w:left="283" w:firstLine="680"/>
      <w:jc w:val="both"/>
    </w:pPr>
    <w:rPr>
      <w:rFonts w:ascii="Times New Roman" w:hAnsi="Times New Roman" w:eastAsia="Times New Roman" w:cs="Times New Roman"/>
      <w:sz w:val="24"/>
      <w:szCs w:val="24"/>
      <w:lang w:eastAsia="ru-RU"/>
    </w:rPr>
  </w:style>
  <w:style w:type="paragraph" w:styleId="BodyTextIndent3">
    <w:name w:val="Body Text Indent 3"/>
    <w:basedOn w:val="Normal"/>
    <w:link w:val="3f1"/>
    <w:qFormat/>
    <w:rsid w:val="00ea4301"/>
    <w:pPr>
      <w:spacing w:lineRule="auto" w:line="360" w:before="0" w:after="0"/>
      <w:ind w:left="708" w:firstLine="709"/>
      <w:jc w:val="both"/>
    </w:pPr>
    <w:rPr>
      <w:rFonts w:ascii="Times New Roman" w:hAnsi="Times New Roman" w:eastAsia="Times New Roman" w:cs="Times New Roman"/>
      <w:sz w:val="28"/>
      <w:szCs w:val="28"/>
      <w:lang w:eastAsia="ru-RU"/>
    </w:rPr>
  </w:style>
  <w:style w:type="paragraph" w:styleId="BlockText">
    <w:name w:val="Block Text"/>
    <w:basedOn w:val="Normal"/>
    <w:qFormat/>
    <w:rsid w:val="00ea4301"/>
    <w:pPr>
      <w:spacing w:lineRule="auto" w:line="360" w:before="0" w:after="0"/>
      <w:ind w:left="526" w:right="43" w:firstLine="709"/>
      <w:jc w:val="both"/>
    </w:pPr>
    <w:rPr>
      <w:rFonts w:ascii="Times New Roman" w:hAnsi="Times New Roman" w:eastAsia="Times New Roman" w:cs="Times New Roman"/>
      <w:sz w:val="28"/>
      <w:szCs w:val="28"/>
      <w:lang w:eastAsia="ru-RU"/>
    </w:rPr>
  </w:style>
  <w:style w:type="paragraph" w:styleId="DocumentMap">
    <w:name w:val="Document Map"/>
    <w:basedOn w:val="Normal"/>
    <w:link w:val="afffffff5"/>
    <w:qFormat/>
    <w:rsid w:val="00ea4301"/>
    <w:pPr>
      <w:widowControl w:val="false"/>
      <w:shd w:val="clear" w:color="auto" w:fill="000080"/>
      <w:suppressAutoHyphens w:val="true"/>
      <w:spacing w:lineRule="auto" w:line="240" w:before="0" w:after="0"/>
      <w:jc w:val="both"/>
    </w:pPr>
    <w:rPr>
      <w:rFonts w:ascii="Tahoma" w:hAnsi="Tahoma" w:eastAsia="Times New Roman" w:cs="Times New Roman"/>
      <w:sz w:val="24"/>
      <w:szCs w:val="20"/>
      <w:lang w:eastAsia="ru-RU"/>
    </w:rPr>
  </w:style>
  <w:style w:type="paragraph" w:styleId="PlainText">
    <w:name w:val="Plain Text"/>
    <w:basedOn w:val="Normal"/>
    <w:link w:val="afffffff7"/>
    <w:qFormat/>
    <w:rsid w:val="00ea4301"/>
    <w:pPr>
      <w:spacing w:lineRule="auto" w:line="360" w:before="0" w:after="0"/>
      <w:ind w:left="1080" w:firstLine="709"/>
      <w:jc w:val="both"/>
    </w:pPr>
    <w:rPr>
      <w:rFonts w:ascii="Courier New" w:hAnsi="Courier New" w:eastAsia="Times New Roman" w:cs="Times New Roman"/>
      <w:spacing w:val="-5"/>
      <w:sz w:val="20"/>
      <w:szCs w:val="20"/>
    </w:rPr>
  </w:style>
  <w:style w:type="paragraph" w:styleId="EmailSignature">
    <w:name w:val="E-mail Signature"/>
    <w:basedOn w:val="Normal"/>
    <w:link w:val="afffffff9"/>
    <w:qFormat/>
    <w:rsid w:val="00ea4301"/>
    <w:pPr>
      <w:spacing w:lineRule="auto" w:line="360" w:before="0" w:after="0"/>
      <w:ind w:left="1080" w:firstLine="709"/>
      <w:jc w:val="both"/>
    </w:pPr>
    <w:rPr>
      <w:rFonts w:ascii="Arial" w:hAnsi="Arial" w:eastAsia="Times New Roman" w:cs="Times New Roman"/>
      <w:spacing w:val="-5"/>
      <w:sz w:val="20"/>
      <w:szCs w:val="20"/>
    </w:rPr>
  </w:style>
  <w:style w:type="paragraph" w:styleId="HTMLAddress">
    <w:name w:val="HTML Address"/>
    <w:basedOn w:val="Normal"/>
    <w:link w:val="HTML1"/>
    <w:qFormat/>
    <w:rsid w:val="00ea4301"/>
    <w:pPr>
      <w:spacing w:lineRule="auto" w:line="360" w:before="0" w:after="0"/>
      <w:ind w:left="1080" w:firstLine="709"/>
      <w:jc w:val="both"/>
    </w:pPr>
    <w:rPr>
      <w:rFonts w:ascii="Arial" w:hAnsi="Arial" w:eastAsia="Times New Roman" w:cs="Times New Roman"/>
      <w:i/>
      <w:iCs/>
      <w:spacing w:val="-5"/>
      <w:sz w:val="20"/>
      <w:szCs w:val="20"/>
    </w:rPr>
  </w:style>
  <w:style w:type="paragraph" w:styleId="HTMLPreformatted">
    <w:name w:val="HTML Preformatted"/>
    <w:basedOn w:val="Normal"/>
    <w:link w:val="HTML7"/>
    <w:qFormat/>
    <w:rsid w:val="00ea4301"/>
    <w:pPr>
      <w:spacing w:lineRule="auto" w:line="360" w:before="0" w:after="0"/>
      <w:ind w:left="1080" w:firstLine="709"/>
      <w:jc w:val="both"/>
    </w:pPr>
    <w:rPr>
      <w:rFonts w:ascii="Courier New" w:hAnsi="Courier New" w:eastAsia="Times New Roman" w:cs="Times New Roman"/>
      <w:spacing w:val="-5"/>
      <w:sz w:val="20"/>
      <w:szCs w:val="20"/>
    </w:rPr>
  </w:style>
  <w:style w:type="paragraph" w:styleId="Annotationsubject">
    <w:name w:val="annotation subject"/>
    <w:basedOn w:val="Annotationtext"/>
    <w:link w:val="afffffffb"/>
    <w:uiPriority w:val="99"/>
    <w:semiHidden/>
    <w:qFormat/>
    <w:rsid w:val="00ea4301"/>
    <w:pPr>
      <w:ind w:firstLine="284"/>
      <w:jc w:val="both"/>
    </w:pPr>
    <w:rPr>
      <w:b/>
      <w:bCs/>
    </w:rPr>
  </w:style>
  <w:style w:type="paragraph" w:styleId="BalloonText">
    <w:name w:val="Balloon Text"/>
    <w:basedOn w:val="Normal"/>
    <w:link w:val="affffffff0"/>
    <w:uiPriority w:val="99"/>
    <w:qFormat/>
    <w:rsid w:val="00ea4301"/>
    <w:pPr>
      <w:widowControl w:val="false"/>
      <w:suppressAutoHyphens w:val="true"/>
      <w:spacing w:lineRule="auto" w:line="240" w:before="0" w:after="0"/>
      <w:jc w:val="both"/>
    </w:pPr>
    <w:rPr>
      <w:rFonts w:ascii="Tahoma" w:hAnsi="Tahoma" w:eastAsia="Times New Roman" w:cs="Times New Roman"/>
      <w:sz w:val="16"/>
      <w:szCs w:val="16"/>
      <w:lang w:eastAsia="ru-RU"/>
    </w:rPr>
  </w:style>
  <w:style w:type="paragraph" w:styleId="NoSpacing">
    <w:name w:val="No Spacing"/>
    <w:basedOn w:val="Normal"/>
    <w:uiPriority w:val="1"/>
    <w:qFormat/>
    <w:rsid w:val="00ea4301"/>
    <w:pPr>
      <w:spacing w:lineRule="auto" w:line="360" w:before="0" w:after="0"/>
      <w:ind w:firstLine="680"/>
      <w:jc w:val="both"/>
    </w:pPr>
    <w:rPr>
      <w:rFonts w:ascii="Times New Roman" w:hAnsi="Times New Roman" w:eastAsia="Times New Roman" w:cs="Times New Roman"/>
      <w:sz w:val="24"/>
      <w:szCs w:val="24"/>
      <w:lang w:eastAsia="ru-RU"/>
    </w:rPr>
  </w:style>
  <w:style w:type="paragraph" w:styleId="Quote">
    <w:name w:val="Quote"/>
    <w:basedOn w:val="Normal"/>
    <w:link w:val="2ff"/>
    <w:uiPriority w:val="29"/>
    <w:qFormat/>
    <w:rsid w:val="00ea4301"/>
    <w:pPr>
      <w:spacing w:lineRule="auto" w:line="360" w:before="0" w:after="0"/>
      <w:ind w:firstLine="680"/>
      <w:jc w:val="both"/>
    </w:pPr>
    <w:rPr>
      <w:rFonts w:ascii="Cambria" w:hAnsi="Cambria" w:eastAsia="Times New Roman" w:cs="Times New Roman"/>
      <w:i/>
      <w:iCs/>
      <w:color w:val="5A5A5A"/>
      <w:sz w:val="24"/>
      <w:szCs w:val="24"/>
      <w:lang w:eastAsia="ru-RU"/>
    </w:rPr>
  </w:style>
  <w:style w:type="paragraph" w:styleId="IntenseQuote">
    <w:name w:val="Intense Quote"/>
    <w:basedOn w:val="Normal"/>
    <w:link w:val="affffffff5"/>
    <w:uiPriority w:val="30"/>
    <w:qFormat/>
    <w:rsid w:val="00ea4301"/>
    <w:pPr>
      <w:pBdr>
        <w:top w:val="single" w:sz="12" w:space="10" w:color="B8CCE4"/>
        <w:left w:val="single" w:sz="36" w:space="4" w:color="4F81BD"/>
        <w:bottom w:val="single" w:sz="24" w:space="10" w:color="9BBB59"/>
        <w:right w:val="single" w:sz="36" w:space="4" w:color="4F81BD"/>
      </w:pBdr>
      <w:shd w:val="clear" w:color="auto" w:fill="4F81BD"/>
      <w:spacing w:lineRule="auto" w:line="300" w:before="320" w:after="320"/>
      <w:ind w:left="1440" w:right="1440" w:firstLine="680"/>
      <w:jc w:val="both"/>
    </w:pPr>
    <w:rPr>
      <w:rFonts w:ascii="Cambria" w:hAnsi="Cambria" w:eastAsia="Times New Roman" w:cs="Times New Roman"/>
      <w:i/>
      <w:iCs/>
      <w:color w:val="F4F4F4"/>
      <w:sz w:val="24"/>
      <w:szCs w:val="24"/>
      <w:lang w:eastAsia="ru-RU"/>
    </w:rPr>
  </w:style>
  <w:style w:type="paragraph" w:styleId="Bibliography">
    <w:name w:val="Bibliography"/>
    <w:basedOn w:val="Normal"/>
    <w:uiPriority w:val="37"/>
    <w:semiHidden/>
    <w:unhideWhenUsed/>
    <w:qFormat/>
    <w:rsid w:val="00ea4301"/>
    <w:pPr>
      <w:spacing w:lineRule="auto" w:line="240" w:before="0" w:after="0"/>
    </w:pPr>
    <w:rPr>
      <w:rFonts w:ascii="Times New Roman" w:hAnsi="Times New Roman" w:eastAsia="Times New Roman" w:cs="Times New Roman"/>
      <w:sz w:val="24"/>
      <w:szCs w:val="24"/>
      <w:lang w:eastAsia="ru-RU"/>
    </w:rPr>
  </w:style>
  <w:style w:type="paragraph" w:styleId="118" w:customStyle="1">
    <w:name w:val="Основной текст (11)"/>
    <w:basedOn w:val="Normal"/>
    <w:link w:val="112"/>
    <w:qFormat/>
    <w:rsid w:val="00ea4301"/>
    <w:pPr>
      <w:widowControl w:val="false"/>
      <w:shd w:val="clear" w:color="auto" w:fill="FFFFFF"/>
      <w:spacing w:lineRule="auto" w:line="240" w:before="0" w:after="840"/>
    </w:pPr>
    <w:rPr>
      <w:rFonts w:ascii="Times New Roman" w:hAnsi="Times New Roman" w:eastAsia="Times New Roman" w:cs="Times New Roman"/>
      <w:b/>
      <w:bCs/>
      <w:sz w:val="40"/>
      <w:szCs w:val="40"/>
    </w:rPr>
  </w:style>
  <w:style w:type="paragraph" w:styleId="220" w:customStyle="1">
    <w:name w:val="Колонтитул (2)"/>
    <w:basedOn w:val="Normal"/>
    <w:link w:val="2ff0"/>
    <w:qFormat/>
    <w:rsid w:val="00ea4301"/>
    <w:pPr>
      <w:widowControl w:val="false"/>
      <w:shd w:val="clear" w:color="auto" w:fill="FFFFFF"/>
      <w:spacing w:lineRule="auto" w:line="240" w:before="0" w:after="0"/>
    </w:pPr>
    <w:rPr>
      <w:rFonts w:ascii="Times New Roman" w:hAnsi="Times New Roman" w:eastAsia="Times New Roman" w:cs="Times New Roman"/>
      <w:b/>
      <w:bCs/>
    </w:rPr>
  </w:style>
  <w:style w:type="paragraph" w:styleId="313" w:customStyle="1">
    <w:name w:val="Заголовок №3"/>
    <w:basedOn w:val="Normal"/>
    <w:link w:val="3f8"/>
    <w:qFormat/>
    <w:rsid w:val="00ea4301"/>
    <w:pPr>
      <w:widowControl w:val="false"/>
      <w:shd w:val="clear" w:color="auto" w:fill="FFFFFF"/>
      <w:spacing w:lineRule="auto" w:line="240" w:before="840" w:after="480"/>
      <w:outlineLvl w:val="2"/>
    </w:pPr>
    <w:rPr>
      <w:rFonts w:ascii="Times New Roman" w:hAnsi="Times New Roman" w:eastAsia="Times New Roman" w:cs="Times New Roman"/>
      <w:b/>
      <w:bCs/>
      <w:sz w:val="40"/>
      <w:szCs w:val="40"/>
    </w:rPr>
  </w:style>
  <w:style w:type="paragraph" w:styleId="222" w:customStyle="1">
    <w:name w:val="Заголовок №2"/>
    <w:basedOn w:val="Normal"/>
    <w:link w:val="2ff3"/>
    <w:qFormat/>
    <w:rsid w:val="00ea4301"/>
    <w:pPr>
      <w:widowControl w:val="false"/>
      <w:shd w:val="clear" w:color="auto" w:fill="FFFFFF"/>
      <w:spacing w:lineRule="auto" w:line="240" w:before="0" w:after="720"/>
      <w:outlineLvl w:val="1"/>
    </w:pPr>
    <w:rPr>
      <w:rFonts w:ascii="Times New Roman" w:hAnsi="Times New Roman" w:eastAsia="Times New Roman" w:cs="Times New Roman"/>
      <w:b/>
      <w:bCs/>
      <w:spacing w:val="-10"/>
      <w:sz w:val="44"/>
      <w:szCs w:val="44"/>
    </w:rPr>
  </w:style>
  <w:style w:type="paragraph" w:styleId="223" w:customStyle="1">
    <w:name w:val="Оглавление (2)"/>
    <w:basedOn w:val="Normal"/>
    <w:link w:val="2ff5"/>
    <w:qFormat/>
    <w:rsid w:val="00ea4301"/>
    <w:pPr>
      <w:widowControl w:val="false"/>
      <w:shd w:val="clear" w:color="auto" w:fill="FFFFFF"/>
      <w:spacing w:lineRule="exact" w:line="274" w:before="0" w:after="60"/>
    </w:pPr>
    <w:rPr>
      <w:rFonts w:ascii="Times New Roman" w:hAnsi="Times New Roman" w:eastAsia="Times New Roman" w:cs="Times New Roman"/>
    </w:rPr>
  </w:style>
  <w:style w:type="paragraph" w:styleId="57" w:customStyle="1">
    <w:name w:val="Заголовок №5"/>
    <w:basedOn w:val="Normal"/>
    <w:link w:val="5c"/>
    <w:qFormat/>
    <w:rsid w:val="00ea4301"/>
    <w:pPr>
      <w:widowControl w:val="false"/>
      <w:shd w:val="clear" w:color="auto" w:fill="FFFFFF"/>
      <w:spacing w:lineRule="auto" w:line="240" w:before="240" w:after="360"/>
      <w:outlineLvl w:val="4"/>
    </w:pPr>
    <w:rPr>
      <w:rFonts w:ascii="Times New Roman" w:hAnsi="Times New Roman" w:eastAsia="Times New Roman" w:cs="Times New Roman"/>
    </w:rPr>
  </w:style>
  <w:style w:type="paragraph" w:styleId="523" w:customStyle="1">
    <w:name w:val="Заголовок №5 (2)"/>
    <w:basedOn w:val="Normal"/>
    <w:link w:val="520"/>
    <w:qFormat/>
    <w:rsid w:val="00ea4301"/>
    <w:pPr>
      <w:widowControl w:val="false"/>
      <w:shd w:val="clear" w:color="auto" w:fill="FFFFFF"/>
      <w:spacing w:lineRule="auto" w:line="240" w:before="0" w:after="300"/>
      <w:ind w:hanging="1180"/>
      <w:outlineLvl w:val="4"/>
    </w:pPr>
    <w:rPr>
      <w:rFonts w:ascii="Times New Roman" w:hAnsi="Times New Roman" w:eastAsia="Times New Roman" w:cs="Times New Roman"/>
      <w:b/>
      <w:bCs/>
      <w:sz w:val="21"/>
      <w:szCs w:val="21"/>
    </w:rPr>
  </w:style>
  <w:style w:type="paragraph" w:styleId="Style95" w:customStyle="1">
    <w:name w:val="Подпись к таблице"/>
    <w:basedOn w:val="Normal"/>
    <w:link w:val="Exact"/>
    <w:qFormat/>
    <w:rsid w:val="00ea4301"/>
    <w:pPr>
      <w:widowControl w:val="false"/>
      <w:shd w:val="clear" w:color="auto" w:fill="FFFFFF"/>
      <w:spacing w:lineRule="exact" w:line="259" w:before="0" w:after="0"/>
      <w:jc w:val="both"/>
    </w:pPr>
    <w:rPr>
      <w:rFonts w:ascii="Times New Roman" w:hAnsi="Times New Roman" w:eastAsia="Times New Roman" w:cs="Times New Roman"/>
    </w:rPr>
  </w:style>
  <w:style w:type="paragraph" w:styleId="224" w:customStyle="1">
    <w:name w:val="Подпись к таблице (2)"/>
    <w:basedOn w:val="Normal"/>
    <w:link w:val="2Exact0"/>
    <w:qFormat/>
    <w:rsid w:val="00ea4301"/>
    <w:pPr>
      <w:widowControl w:val="false"/>
      <w:shd w:val="clear" w:color="auto" w:fill="FFFFFF"/>
      <w:spacing w:lineRule="exact" w:line="254" w:before="0" w:after="0"/>
    </w:pPr>
    <w:rPr>
      <w:rFonts w:ascii="Times New Roman" w:hAnsi="Times New Roman" w:eastAsia="Times New Roman" w:cs="Times New Roman"/>
      <w:b/>
      <w:bCs/>
      <w:sz w:val="21"/>
      <w:szCs w:val="21"/>
    </w:rPr>
  </w:style>
  <w:style w:type="paragraph" w:styleId="Headertext" w:customStyle="1">
    <w:name w:val="headertext"/>
    <w:basedOn w:val="Normal"/>
    <w:qFormat/>
    <w:rsid w:val="00ea4301"/>
    <w:pPr>
      <w:spacing w:lineRule="auto" w:line="240" w:beforeAutospacing="1" w:afterAutospacing="1"/>
    </w:pPr>
    <w:rPr>
      <w:rFonts w:ascii="Times New Roman" w:hAnsi="Times New Roman" w:eastAsia="Times New Roman" w:cs="Times New Roman"/>
      <w:sz w:val="24"/>
      <w:szCs w:val="24"/>
      <w:lang w:eastAsia="ru-RU"/>
    </w:rPr>
  </w:style>
  <w:style w:type="paragraph" w:styleId="225" w:customStyle="1">
    <w:name w:val="Îñíîâíîé òåêñò ñ îòñòóïîì 2"/>
    <w:basedOn w:val="Normal"/>
    <w:qFormat/>
    <w:rsid w:val="00ea4301"/>
    <w:pPr>
      <w:widowControl w:val="false"/>
      <w:spacing w:lineRule="auto" w:line="240" w:before="0" w:after="0"/>
      <w:ind w:left="720" w:hanging="0"/>
      <w:jc w:val="both"/>
    </w:pPr>
    <w:rPr>
      <w:rFonts w:ascii="Times New Roman" w:hAnsi="Times New Roman" w:eastAsia="Times New Roman" w:cs="Times New Roman"/>
      <w:color w:val="000000"/>
      <w:sz w:val="24"/>
      <w:szCs w:val="20"/>
      <w:lang w:val="en-US" w:eastAsia="ru-RU"/>
    </w:rPr>
  </w:style>
  <w:style w:type="paragraph" w:styleId="Style96" w:customStyle="1">
    <w:name w:val="Простойттекст"/>
    <w:basedOn w:val="Normal"/>
    <w:qFormat/>
    <w:rsid w:val="00ea4301"/>
    <w:pPr>
      <w:suppressAutoHyphens w:val="true"/>
      <w:spacing w:lineRule="auto" w:line="240" w:before="0" w:after="0"/>
      <w:ind w:firstLine="705"/>
      <w:jc w:val="both"/>
    </w:pPr>
    <w:rPr>
      <w:rFonts w:ascii="Times New Roman" w:hAnsi="Times New Roman" w:eastAsia="Lucida Sans Unicode" w:cs="Times New Roman"/>
      <w:sz w:val="26"/>
      <w:szCs w:val="26"/>
      <w:lang w:eastAsia="ru-RU"/>
    </w:rPr>
  </w:style>
  <w:style w:type="paragraph" w:styleId="226" w:customStyle="1">
    <w:name w:val="Подпункты2"/>
    <w:basedOn w:val="Normal"/>
    <w:qFormat/>
    <w:rsid w:val="00ea4301"/>
    <w:pPr>
      <w:widowControl w:val="false"/>
      <w:tabs>
        <w:tab w:val="left" w:pos="723" w:leader="none"/>
        <w:tab w:val="left" w:pos="2085" w:leader="none"/>
      </w:tabs>
      <w:suppressAutoHyphens w:val="true"/>
      <w:spacing w:lineRule="auto" w:line="240" w:before="0" w:after="0"/>
      <w:ind w:left="723" w:hanging="360"/>
    </w:pPr>
    <w:rPr>
      <w:rFonts w:ascii="Times New Roman" w:hAnsi="Times New Roman" w:eastAsia="Lucida Sans Unicode" w:cs="Times New Roman"/>
      <w:sz w:val="26"/>
      <w:szCs w:val="26"/>
      <w:lang w:eastAsia="ru-RU"/>
    </w:rPr>
  </w:style>
  <w:style w:type="paragraph" w:styleId="Revision">
    <w:name w:val="Revision"/>
    <w:uiPriority w:val="99"/>
    <w:semiHidden/>
    <w:qFormat/>
    <w:rsid w:val="00ea4301"/>
    <w:pPr>
      <w:widowControl/>
      <w:bidi w:val="0"/>
      <w:spacing w:lineRule="auto" w:line="240" w:before="0" w:after="0"/>
      <w:jc w:val="left"/>
    </w:pPr>
    <w:rPr>
      <w:rFonts w:ascii="Tahoma" w:hAnsi="Tahoma" w:eastAsia="Tahoma" w:cs="Tahoma"/>
      <w:color w:val="000000"/>
      <w:sz w:val="24"/>
      <w:szCs w:val="24"/>
      <w:lang w:val="ru-RU" w:eastAsia="ru-RU" w:bidi="ru-RU"/>
    </w:rPr>
  </w:style>
  <w:style w:type="paragraph" w:styleId="314" w:customStyle="1">
    <w:name w:val="Знак Знак3 Знак Знак"/>
    <w:basedOn w:val="Normal"/>
    <w:qFormat/>
    <w:rsid w:val="00ea4301"/>
    <w:pPr>
      <w:spacing w:lineRule="exact" w:line="240"/>
    </w:pPr>
    <w:rPr>
      <w:rFonts w:ascii="Verdana" w:hAnsi="Verdana" w:eastAsia="Times New Roman" w:cs="Times New Roman"/>
      <w:sz w:val="20"/>
      <w:szCs w:val="20"/>
      <w:lang w:val="en-US"/>
    </w:rPr>
  </w:style>
  <w:style w:type="paragraph" w:styleId="Style97" w:customStyle="1">
    <w:name w:val="ОСНОВНОЙ !!!"/>
    <w:basedOn w:val="Style51"/>
    <w:link w:val="1fa"/>
    <w:qFormat/>
    <w:rsid w:val="005f447c"/>
    <w:pPr>
      <w:spacing w:lineRule="auto" w:line="240" w:before="120" w:after="0"/>
      <w:ind w:firstLine="900"/>
    </w:pPr>
    <w:rPr>
      <w:rFonts w:ascii="Arial" w:hAnsi="Arial" w:eastAsia="Times New Roman" w:cs="Times New Roman"/>
    </w:rPr>
  </w:style>
  <w:style w:type="paragraph" w:styleId="Style98">
    <w:name w:val="Footnote Text"/>
    <w:basedOn w:val="Normal"/>
    <w:pPr/>
    <w:rPr/>
  </w:style>
  <w:style w:type="paragraph" w:styleId="315">
    <w:name w:val="Основной текст3"/>
    <w:basedOn w:val="Normal"/>
    <w:qFormat/>
    <w:pPr>
      <w:widowControl w:val="false"/>
      <w:shd w:val="clear" w:color="auto" w:fill="FFFFFF"/>
      <w:spacing w:lineRule="auto" w:line="240" w:before="0" w:after="60"/>
      <w:ind w:hanging="360"/>
    </w:pPr>
    <w:rPr>
      <w:rFonts w:ascii="Times New Roman" w:hAnsi="Times New Roman" w:eastAsia="Times New Roman" w:cs="Times New Roman"/>
      <w:color w:val="00000A"/>
      <w:sz w:val="23"/>
      <w:szCs w:val="23"/>
      <w:lang w:eastAsia="en-US"/>
    </w:rPr>
  </w:style>
  <w:style w:type="paragraph" w:styleId="Style99">
    <w:name w:val="Таблица"/>
    <w:basedOn w:val="Style93"/>
    <w:qFormat/>
    <w:pPr>
      <w:spacing w:before="0" w:after="0"/>
      <w:ind w:firstLine="709"/>
      <w:outlineLvl w:val="4"/>
    </w:pPr>
    <w:rPr>
      <w:rFonts w:ascii="Calibri Light" w:hAnsi="Calibri Light" w:eastAsia="" w:cs="" w:asciiTheme="majorHAnsi" w:cstheme="majorBidi" w:eastAsiaTheme="majorEastAsia" w:hAnsiTheme="majorHAnsi"/>
      <w:i w:val="false"/>
      <w:color w:val="000000" w:themeColor="text1"/>
      <w:lang w:val="ru-RU" w:eastAsia="en-US"/>
    </w:rPr>
  </w:style>
  <w:style w:type="paragraph" w:styleId="TableofFigures1">
    <w:name w:val="Table of Figures"/>
    <w:basedOn w:val="Style99"/>
    <w:qFormat/>
    <w:pPr>
      <w:ind w:hanging="0"/>
      <w:jc w:val="center"/>
    </w:pPr>
    <w:rPr/>
  </w:style>
  <w:style w:type="numbering" w:styleId="NoList" w:default="1">
    <w:name w:val="No List"/>
    <w:uiPriority w:val="99"/>
    <w:semiHidden/>
    <w:unhideWhenUsed/>
    <w:qFormat/>
  </w:style>
  <w:style w:type="numbering" w:styleId="119" w:customStyle="1">
    <w:name w:val="Нет списка1"/>
    <w:uiPriority w:val="99"/>
    <w:semiHidden/>
    <w:unhideWhenUsed/>
    <w:qFormat/>
    <w:rsid w:val="00ea4301"/>
  </w:style>
  <w:style w:type="numbering" w:styleId="1110" w:customStyle="1">
    <w:name w:val="Нет списка11"/>
    <w:uiPriority w:val="99"/>
    <w:semiHidden/>
    <w:unhideWhenUsed/>
    <w:qFormat/>
    <w:rsid w:val="00ea4301"/>
  </w:style>
  <w:style w:type="numbering" w:styleId="227" w:customStyle="1">
    <w:name w:val="Нет списка2"/>
    <w:uiPriority w:val="99"/>
    <w:semiHidden/>
    <w:unhideWhenUsed/>
    <w:qFormat/>
    <w:rsid w:val="00ea4301"/>
  </w:style>
  <w:style w:type="numbering" w:styleId="1111111" w:customStyle="1">
    <w:name w:val="1 / 1.1 / 1.1.11"/>
    <w:qFormat/>
    <w:rsid w:val="00ea4301"/>
  </w:style>
  <w:style w:type="numbering" w:styleId="OutlineList2">
    <w:name w:val="Outline List 2"/>
    <w:qFormat/>
    <w:rsid w:val="00ea4301"/>
  </w:style>
  <w:style w:type="numbering" w:styleId="1ai1" w:customStyle="1">
    <w:name w:val="1 / a / i1"/>
    <w:qFormat/>
    <w:rsid w:val="00ea4301"/>
  </w:style>
  <w:style w:type="numbering" w:styleId="OutlineList1">
    <w:name w:val="Outline List 1"/>
    <w:qFormat/>
    <w:rsid w:val="00ea4301"/>
  </w:style>
  <w:style w:type="numbering" w:styleId="11111111" w:customStyle="1">
    <w:name w:val="1 / 1.1 / 1.1.111"/>
    <w:qFormat/>
    <w:rsid w:val="00ea4301"/>
  </w:style>
  <w:style w:type="numbering" w:styleId="1ai11" w:customStyle="1">
    <w:name w:val="1 / a / i11"/>
    <w:qFormat/>
    <w:rsid w:val="00ea4301"/>
  </w:style>
  <w:style w:type="numbering" w:styleId="120" w:customStyle="1">
    <w:name w:val="Статья / Раздел1"/>
    <w:qFormat/>
    <w:rsid w:val="00ea4301"/>
  </w:style>
  <w:style w:type="numbering" w:styleId="OutlineList3">
    <w:name w:val="Outline List 3"/>
    <w:qFormat/>
    <w:rsid w:val="00ea4301"/>
  </w:style>
  <w:style w:type="numbering" w:styleId="1111" w:customStyle="1">
    <w:name w:val="Нет списка111"/>
    <w:uiPriority w:val="99"/>
    <w:semiHidden/>
    <w:unhideWhenUsed/>
    <w:qFormat/>
    <w:rsid w:val="00ea4301"/>
  </w:style>
  <w:style w:type="numbering" w:styleId="2110" w:customStyle="1">
    <w:name w:val="Нет списка21"/>
    <w:uiPriority w:val="99"/>
    <w:semiHidden/>
    <w:unhideWhenUsed/>
    <w:qFormat/>
    <w:rsid w:val="00ea4301"/>
  </w:style>
  <w:style w:type="numbering" w:styleId="111111111" w:customStyle="1">
    <w:name w:val="1 / 1.1 / 1.1.1111"/>
    <w:qFormat/>
    <w:rsid w:val="00ea4301"/>
  </w:style>
  <w:style w:type="numbering" w:styleId="1ai111" w:customStyle="1">
    <w:name w:val="1 / a / i111"/>
    <w:qFormat/>
    <w:rsid w:val="00ea4301"/>
  </w:style>
  <w:style w:type="numbering" w:styleId="316" w:customStyle="1">
    <w:name w:val="Нет списка3"/>
    <w:semiHidden/>
    <w:unhideWhenUsed/>
    <w:qFormat/>
    <w:rsid w:val="00ea4301"/>
  </w:style>
  <w:style w:type="numbering" w:styleId="Style100" w:customStyle="1">
    <w:name w:val="Нумерация_заголовков"/>
    <w:uiPriority w:val="99"/>
    <w:qFormat/>
    <w:rsid w:val="00ea4301"/>
  </w:style>
  <w:style w:type="numbering" w:styleId="228" w:customStyle="1">
    <w:name w:val="Нумерация_заголовков_2"/>
    <w:uiPriority w:val="99"/>
    <w:qFormat/>
    <w:rsid w:val="00ea4301"/>
  </w:style>
  <w:style w:type="numbering" w:styleId="317" w:customStyle="1">
    <w:name w:val="Нумерация_заголовков_3"/>
    <w:uiPriority w:val="99"/>
    <w:qFormat/>
    <w:rsid w:val="00ea4301"/>
  </w:style>
  <w:style w:type="numbering" w:styleId="123" w:customStyle="1">
    <w:name w:val="Стиль1"/>
    <w:uiPriority w:val="99"/>
    <w:qFormat/>
    <w:rsid w:val="00ea4301"/>
  </w:style>
  <w:style w:type="numbering" w:styleId="Style101" w:customStyle="1">
    <w:name w:val="Нумерация согласно ГОСТ"/>
    <w:uiPriority w:val="99"/>
    <w:qFormat/>
    <w:rsid w:val="00ea4301"/>
  </w:style>
  <w:style w:type="numbering" w:styleId="Style102" w:customStyle="1">
    <w:name w:val="НУМЕРАЦИЯ_НОВАЯ"/>
    <w:uiPriority w:val="99"/>
    <w:qFormat/>
    <w:rsid w:val="00ea4301"/>
  </w:style>
  <w:style w:type="numbering" w:styleId="Style103" w:customStyle="1">
    <w:name w:val="НОВЫЙ"/>
    <w:uiPriority w:val="99"/>
    <w:qFormat/>
    <w:rsid w:val="00ea4301"/>
  </w:style>
  <w:style w:type="numbering" w:styleId="46" w:customStyle="1">
    <w:name w:val="Стиль4"/>
    <w:uiPriority w:val="99"/>
    <w:qFormat/>
    <w:rsid w:val="00ea4301"/>
  </w:style>
  <w:style w:type="numbering" w:styleId="58" w:customStyle="1">
    <w:name w:val="Стиль5"/>
    <w:uiPriority w:val="99"/>
    <w:qFormat/>
    <w:rsid w:val="00ea4301"/>
  </w:style>
  <w:style w:type="numbering" w:styleId="64" w:customStyle="1">
    <w:name w:val="Стиль6"/>
    <w:uiPriority w:val="99"/>
    <w:qFormat/>
    <w:rsid w:val="00ea4301"/>
  </w:style>
  <w:style w:type="numbering" w:styleId="47" w:customStyle="1">
    <w:name w:val="Нет списка4"/>
    <w:uiPriority w:val="99"/>
    <w:semiHidden/>
    <w:unhideWhenUsed/>
    <w:qFormat/>
    <w:rsid w:val="00ea4301"/>
  </w:style>
  <w:style w:type="numbering" w:styleId="124" w:customStyle="1">
    <w:name w:val="Нет списка12"/>
    <w:uiPriority w:val="99"/>
    <w:semiHidden/>
    <w:unhideWhenUsed/>
    <w:qFormat/>
    <w:rsid w:val="00ea4301"/>
  </w:style>
  <w:style w:type="table" w:default="1" w:styleId="ab">
    <w:name w:val="Normal Table"/>
    <w:uiPriority w:val="99"/>
    <w:semiHidden/>
    <w:unhideWhenUsed/>
    <w:tblPr>
      <w:tblInd w:w="0" w:type="dxa"/>
      <w:tblCellMar>
        <w:top w:w="0" w:type="dxa"/>
        <w:left w:w="108" w:type="dxa"/>
        <w:bottom w:w="0" w:type="dxa"/>
        <w:right w:w="108" w:type="dxa"/>
      </w:tblCellMar>
    </w:tblPr>
  </w:style>
  <w:style w:type="table" w:customStyle="1" w:styleId="17">
    <w:name w:val="Сетка таблицы1"/>
    <w:basedOn w:val="ab"/>
    <w:rsid w:val="00ea4301"/>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af2">
    <w:name w:val="Table Grid"/>
    <w:basedOn w:val="ab"/>
    <w:rsid w:val="00ea4301"/>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1">
    <w:name w:val="Средняя заливка 2 - Акцент 51"/>
    <w:basedOn w:val="ab"/>
    <w:uiPriority w:val="64"/>
    <w:rsid w:val="00ea4301"/>
    <w:pPr>
      <w:spacing w:after="0" w:line="240" w:lineRule="auto"/>
    </w:pPr>
    <w:rPr>
      <w:lang w:eastAsia="ru-RU"/>
      <w:sz w:val="20"/>
      <w:szCs w:val="20"/>
    </w:r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4F4F4"/>
      </w:rPr>
      <w:tblPr/>
      <w:tcPr>
        <w:tcBorders>
          <w:top w:val="single" w:color="auto" w:sz="18" w:space="0"/>
          <w:left w:val="nil"/>
          <w:bottom w:val="single" w:color="auto" w:sz="18" w:space="0"/>
          <w:right w:val="nil"/>
          <w:insideH w:val="nil"/>
          <w:insideV w:val="nil"/>
        </w:tcBorders>
        <w:shd w:val="clear" w:color="auto" w:fill="4BACC6"/>
      </w:tcPr>
    </w:tblStylePr>
    <w:tblStylePr w:type="lastRow">
      <w:pPr>
        <w:spacing w:before="0" w:after="0" w:line="240" w:lineRule="auto"/>
      </w:pPr>
      <w:tblPr/>
      <w:tcPr>
        <w:tcBorders>
          <w:top w:val="double" w:color="auto" w:sz="6" w:space="0"/>
          <w:left w:val="nil"/>
          <w:bottom w:val="single" w:color="auto" w:sz="18" w:space="0"/>
          <w:right w:val="nil"/>
          <w:insideH w:val="nil"/>
          <w:insideV w:val="nil"/>
        </w:tcBorders>
        <w:shd w:val="clear" w:color="auto" w:fill="F4F4F4"/>
      </w:tcPr>
    </w:tblStylePr>
    <w:tblStylePr w:type="firstCol">
      <w:rPr>
        <w:b/>
        <w:bCs/>
        <w:color w:val="F4F4F4"/>
      </w:rPr>
      <w:tblPr/>
      <w:tcPr>
        <w:tcBorders>
          <w:top w:val="nil"/>
          <w:left w:val="nil"/>
          <w:bottom w:val="single" w:color="auto" w:sz="18" w:space="0"/>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4F4F4"/>
      </w:rPr>
      <w:tblPr/>
      <w:tcPr>
        <w:tcBorders>
          <w:top w:val="single" w:color="auto" w:sz="18" w:space="0"/>
          <w:left w:val="nil"/>
          <w:bottom w:val="single" w:color="auto" w:sz="18" w:space="0"/>
          <w:right w:val="nil"/>
          <w:insideH w:val="nil"/>
          <w:insideV w:val="nil"/>
        </w:tcBorders>
      </w:tcPr>
    </w:tblStylePr>
  </w:style>
  <w:style w:type="table" w:styleId="2-5">
    <w:name w:val="Medium Shading 2 Accent 5"/>
    <w:basedOn w:val="ab"/>
    <w:uiPriority w:val="64"/>
    <w:rsid w:val="00ea4301"/>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4F4F4"/>
      </w:rPr>
      <w:tblPr/>
      <w:tcPr>
        <w:tcBorders>
          <w:top w:val="single" w:color="auto" w:sz="18" w:space="0"/>
          <w:left w:val="nil"/>
          <w:bottom w:val="single" w:color="auto" w:sz="18" w:space="0"/>
          <w:right w:val="nil"/>
          <w:insideH w:val="nil"/>
          <w:insideV w:val="nil"/>
        </w:tcBorders>
        <w:shd w:val="clear" w:color="auto" w:fill="4BACC6"/>
      </w:tcPr>
    </w:tblStylePr>
    <w:tblStylePr w:type="lastRow">
      <w:pPr>
        <w:spacing w:before="0" w:after="0" w:line="240" w:lineRule="auto"/>
      </w:pPr>
      <w:tblPr/>
      <w:tcPr>
        <w:tcBorders>
          <w:top w:val="double" w:color="auto" w:sz="6" w:space="0"/>
          <w:left w:val="nil"/>
          <w:bottom w:val="single" w:color="auto" w:sz="18" w:space="0"/>
          <w:right w:val="nil"/>
          <w:insideH w:val="nil"/>
          <w:insideV w:val="nil"/>
        </w:tcBorders>
        <w:shd w:val="clear" w:color="auto" w:fill="F4F4F4"/>
      </w:tcPr>
    </w:tblStylePr>
    <w:tblStylePr w:type="firstCol">
      <w:rPr>
        <w:b/>
        <w:bCs/>
        <w:color w:val="F4F4F4"/>
      </w:rPr>
      <w:tblPr/>
      <w:tcPr>
        <w:tcBorders>
          <w:top w:val="nil"/>
          <w:left w:val="nil"/>
          <w:bottom w:val="single" w:color="auto" w:sz="18" w:space="0"/>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4F4F4"/>
      </w:rPr>
      <w:tblPr/>
      <w:tcPr>
        <w:tcBorders>
          <w:top w:val="single" w:color="auto" w:sz="18" w:space="0"/>
          <w:left w:val="nil"/>
          <w:bottom w:val="single" w:color="auto" w:sz="18" w:space="0"/>
          <w:right w:val="nil"/>
          <w:insideH w:val="nil"/>
          <w:insideV w:val="nil"/>
        </w:tcBorders>
      </w:tcPr>
    </w:tblStylePr>
  </w:style>
  <w:style w:type="table" w:customStyle="1" w:styleId="2-511">
    <w:name w:val="Средняя заливка 2 - Акцент 511"/>
    <w:basedOn w:val="ab"/>
    <w:uiPriority w:val="64"/>
    <w:rsid w:val="00ea4301"/>
    <w:pPr>
      <w:spacing w:after="0" w:line="240" w:lineRule="auto"/>
    </w:pPr>
    <w:rPr>
      <w:lang w:eastAsia="ru-RU"/>
      <w:sz w:val="20"/>
      <w:szCs w:val="20"/>
    </w:r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4F4F4"/>
      </w:rPr>
      <w:tblPr/>
      <w:tcPr>
        <w:tcBorders>
          <w:top w:val="single" w:color="auto" w:sz="18" w:space="0"/>
          <w:left w:val="nil"/>
          <w:bottom w:val="single" w:color="auto" w:sz="18" w:space="0"/>
          <w:right w:val="nil"/>
          <w:insideH w:val="nil"/>
          <w:insideV w:val="nil"/>
        </w:tcBorders>
        <w:shd w:val="clear" w:color="auto" w:fill="4BACC6"/>
      </w:tcPr>
    </w:tblStylePr>
    <w:tblStylePr w:type="lastRow">
      <w:pPr>
        <w:spacing w:before="0" w:after="0" w:line="240" w:lineRule="auto"/>
      </w:pPr>
      <w:tblPr/>
      <w:tcPr>
        <w:tcBorders>
          <w:top w:val="double" w:color="auto" w:sz="6" w:space="0"/>
          <w:left w:val="nil"/>
          <w:bottom w:val="single" w:color="auto" w:sz="18" w:space="0"/>
          <w:right w:val="nil"/>
          <w:insideH w:val="nil"/>
          <w:insideV w:val="nil"/>
        </w:tcBorders>
        <w:shd w:val="clear" w:color="auto" w:fill="F4F4F4"/>
      </w:tcPr>
    </w:tblStylePr>
    <w:tblStylePr w:type="firstCol">
      <w:rPr>
        <w:b/>
        <w:bCs/>
        <w:color w:val="F4F4F4"/>
      </w:rPr>
      <w:tblPr/>
      <w:tcPr>
        <w:tcBorders>
          <w:top w:val="nil"/>
          <w:left w:val="nil"/>
          <w:bottom w:val="single" w:color="auto" w:sz="18" w:space="0"/>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4F4F4"/>
      </w:rPr>
      <w:tblPr/>
      <w:tcPr>
        <w:tcBorders>
          <w:top w:val="single" w:color="auto" w:sz="18" w:space="0"/>
          <w:left w:val="nil"/>
          <w:bottom w:val="single" w:color="auto" w:sz="18" w:space="0"/>
          <w:right w:val="nil"/>
          <w:insideH w:val="nil"/>
          <w:insideV w:val="nil"/>
        </w:tcBorders>
      </w:tcPr>
    </w:tblStylePr>
  </w:style>
  <w:style w:type="table" w:customStyle="1" w:styleId="29">
    <w:name w:val="Сетка таблицы2"/>
    <w:basedOn w:val="ab"/>
    <w:rsid w:val="00ea4301"/>
    <w:pPr>
      <w:spacing w:after="0" w:line="240" w:lineRule="auto"/>
    </w:pPr>
    <w:rPr>
      <w:lang w:eastAsia="ru-RU"/>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f3">
    <w:name w:val="Table Simple 1"/>
    <w:basedOn w:val="ab"/>
    <w:rsid w:val="00ea4301"/>
    <w:pPr>
      <w:spacing w:after="0" w:line="240" w:lineRule="auto"/>
    </w:pPr>
    <w:rPr>
      <w:lang w:eastAsia="ru-RU"/>
      <w:sz w:val="20"/>
      <w:szCs w:val="20"/>
    </w:r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styleId="2f7">
    <w:name w:val="Table Simple 2"/>
    <w:basedOn w:val="ab"/>
    <w:rsid w:val="00ea4301"/>
    <w:pPr>
      <w:spacing w:after="0" w:line="240" w:lineRule="auto"/>
    </w:pPr>
    <w:rPr>
      <w:lang w:eastAsia="ru-RU"/>
      <w:sz w:val="20"/>
      <w:szCs w:val="20"/>
    </w:r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styleId="3f2">
    <w:name w:val="Table Simple 3"/>
    <w:basedOn w:val="ab"/>
    <w:rsid w:val="00ea4301"/>
    <w:pPr>
      <w:spacing w:after="0" w:line="240" w:lineRule="auto"/>
    </w:pPr>
    <w:rPr>
      <w:lang w:eastAsia="ru-RU"/>
      <w:sz w:val="20"/>
      <w:szCs w:val="20"/>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styleId="1f4">
    <w:name w:val="Table Classic 1"/>
    <w:basedOn w:val="ab"/>
    <w:rsid w:val="00ea4301"/>
    <w:pPr>
      <w:spacing w:after="0" w:line="240" w:lineRule="auto"/>
    </w:pPr>
    <w:rPr>
      <w:lang w:eastAsia="ru-RU"/>
      <w:sz w:val="20"/>
      <w:szCs w:val="20"/>
    </w:rPr>
    <w:tblPr>
      <w:tblBorders>
        <w:top w:val="single" w:color="000000" w:sz="12" w:space="0"/>
        <w:bottom w:val="single" w:color="000000" w:sz="12" w:space="0"/>
      </w:tblBorders>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2f8">
    <w:name w:val="Table Classic 2"/>
    <w:basedOn w:val="ab"/>
    <w:rsid w:val="00ea4301"/>
    <w:pPr>
      <w:spacing w:after="0" w:line="240" w:lineRule="auto"/>
    </w:pPr>
    <w:rPr>
      <w:lang w:eastAsia="ru-RU"/>
      <w:sz w:val="20"/>
      <w:szCs w:val="20"/>
    </w:r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styleId="3f3">
    <w:name w:val="Table Classic 3"/>
    <w:basedOn w:val="ab"/>
    <w:rsid w:val="00ea4301"/>
    <w:pPr>
      <w:spacing w:after="0" w:line="240" w:lineRule="auto"/>
    </w:pPr>
    <w:rPr>
      <w:lang w:eastAsia="ru-RU"/>
      <w:color w:val="000080"/>
      <w:sz w:val="20"/>
      <w:szCs w:val="2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color w:val="FFFFFF"/>
      </w:rPr>
      <w:tblPr/>
      <w:tcPr>
        <w:tcBorders>
          <w:bottom w:val="single" w:color="000000" w:sz="6" w:space="0"/>
          <w:tl2br w:val="none" w:color="auto" w:sz="0" w:space="0"/>
          <w:tr2bl w:val="none" w:color="auto" w:sz="0" w:space="0"/>
        </w:tcBorders>
        <w:shd w:val="solid" w:color="000080" w:fill="FFFFFF"/>
      </w:tcPr>
    </w:tblStylePr>
    <w:tblStylePr w:type="lastRow">
      <w:rPr>
        <w:color w:val="000080"/>
      </w:rPr>
      <w:tblPr/>
      <w:tcPr>
        <w:tcBorders>
          <w:top w:val="single" w:color="000000" w:sz="12" w:space="0"/>
          <w:tl2br w:val="none" w:color="auto" w:sz="0" w:space="0"/>
          <w:tr2bl w:val="none" w:color="auto" w:sz="0" w:space="0"/>
        </w:tcBorders>
        <w:shd w:val="solid" w:color="FFFFFF" w:fill="FFFFFF"/>
      </w:tcPr>
    </w:tblStylePr>
    <w:tblStylePr w:type="firstCol">
      <w:rPr>
        <w:b/>
        <w:bCs/>
        <w:color w:val="000000"/>
      </w:rPr>
      <w:tblPr/>
      <w:tcPr>
        <w:tcBorders>
          <w:tl2br w:val="none" w:color="auto" w:sz="0" w:space="0"/>
          <w:tr2bl w:val="none" w:color="auto" w:sz="0" w:space="0"/>
        </w:tcBorders>
      </w:tcPr>
    </w:tblStylePr>
  </w:style>
  <w:style w:type="table" w:styleId="4b">
    <w:name w:val="Table Classic 4"/>
    <w:basedOn w:val="ab"/>
    <w:rsid w:val="00ea4301"/>
    <w:pPr>
      <w:spacing w:after="0" w:line="240" w:lineRule="auto"/>
    </w:pPr>
    <w:rPr>
      <w:lang w:eastAsia="ru-RU"/>
      <w:sz w:val="20"/>
      <w:szCs w:val="20"/>
    </w:r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color w:val="FFFFFF"/>
      </w:rPr>
      <w:tblPr/>
      <w:tcPr>
        <w:tcBorders>
          <w:bottom w:val="single" w:color="000000" w:sz="6" w:space="0"/>
          <w:tl2br w:val="none" w:color="auto" w:sz="0" w:space="0"/>
          <w:tr2bl w:val="none" w:color="auto" w:sz="0" w:space="0"/>
        </w:tcBorders>
        <w:shd w:val="pct50" w:color="000080" w:fill="FFFFFF"/>
      </w:tcPr>
    </w:tblStylePr>
    <w:tblStylePr w:type="lastRow">
      <w:rPr>
        <w:color w:val="000080"/>
      </w:rPr>
      <w:tblPr/>
      <w:tcPr>
        <w:tcBorders>
          <w:bottom w:val="single" w:color="000000" w:sz="6" w:space="0"/>
          <w:tl2br w:val="none" w:color="auto" w:sz="0" w:space="0"/>
          <w:tr2bl w:val="none" w:color="auto" w:sz="0" w:space="0"/>
        </w:tcBorders>
        <w:shd w:val="pct50" w:color="000000" w:fill="FFFFFF"/>
      </w:tcPr>
    </w:tblStylePr>
    <w:tblStylePr w:type="firstCol">
      <w:rPr>
        <w:b/>
        <w:bCs/>
      </w:rPr>
      <w:tblPr/>
      <w:tcPr>
        <w:tcBorders>
          <w:tl2br w:val="none" w:color="auto" w:sz="0" w:space="0"/>
          <w:tr2bl w:val="none" w:color="auto" w:sz="0" w:space="0"/>
        </w:tcBorders>
      </w:tcPr>
    </w:tblStylePr>
    <w:tblStylePr w:type="nwCell">
      <w:rPr>
        <w:b/>
        <w:bCs/>
      </w:rPr>
      <w:tblPr/>
      <w:tcPr>
        <w:tcBorders>
          <w:tl2br w:val="none" w:color="auto" w:sz="0" w:space="0"/>
          <w:tr2bl w:val="none" w:color="auto" w:sz="0" w:space="0"/>
        </w:tcBorders>
      </w:tcPr>
    </w:tblStylePr>
    <w:tblStylePr w:type="swCell">
      <w:rPr>
        <w:color w:val="000080"/>
      </w:rPr>
      <w:tblPr/>
      <w:tcPr>
        <w:tcBorders>
          <w:tl2br w:val="none" w:color="auto" w:sz="0" w:space="0"/>
          <w:tr2bl w:val="none" w:color="auto" w:sz="0" w:space="0"/>
        </w:tcBorders>
      </w:tcPr>
    </w:tblStylePr>
  </w:style>
  <w:style w:type="table" w:styleId="1f5">
    <w:name w:val="Table Colorful 1"/>
    <w:basedOn w:val="ab"/>
    <w:rsid w:val="00ea4301"/>
    <w:pPr>
      <w:spacing w:after="0" w:line="240" w:lineRule="auto"/>
    </w:pPr>
    <w:rPr>
      <w:lang w:eastAsia="ru-RU"/>
      <w:color w:val="FFFFFF"/>
      <w:sz w:val="20"/>
      <w:szCs w:val="20"/>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rPr>
      <w:tblPr/>
      <w:tcPr>
        <w:tcBorders>
          <w:tl2br w:val="none" w:color="auto" w:sz="0" w:space="0"/>
          <w:tr2bl w:val="none" w:color="auto" w:sz="0" w:space="0"/>
        </w:tcBorders>
        <w:shd w:val="solid" w:color="000000" w:fill="FFFFFF"/>
      </w:tcPr>
    </w:tblStylePr>
    <w:tblStylePr w:type="firstCol">
      <w:rPr>
        <w:b/>
        <w:bCs/>
        <w:i/>
      </w:rPr>
      <w:tblPr/>
      <w:tcPr>
        <w:tcBorders>
          <w:tl2br w:val="none" w:color="auto" w:sz="0" w:space="0"/>
          <w:tr2bl w:val="none" w:color="auto" w:sz="0" w:space="0"/>
        </w:tcBorders>
        <w:shd w:val="solid" w:color="000080" w:fill="FFFFFF"/>
      </w:tcPr>
    </w:tblStylePr>
    <w:tblStylePr w:type="nwCell">
      <w:tblPr/>
      <w:tcPr>
        <w:tcBorders>
          <w:tl2br w:val="none" w:color="auto" w:sz="0" w:space="0"/>
          <w:tr2bl w:val="none" w:color="auto" w:sz="0" w:space="0"/>
        </w:tcBorders>
        <w:shd w:val="solid" w:color="000000" w:fill="FFFFFF"/>
      </w:tcPr>
    </w:tblStylePr>
    <w:tblStylePr w:type="swCell">
      <w:rPr>
        <w:b/>
        <w:bCs/>
        <w:i w:val="0"/>
      </w:rPr>
      <w:tblPr/>
      <w:tcPr>
        <w:tcBorders>
          <w:tl2br w:val="none" w:color="auto" w:sz="0" w:space="0"/>
          <w:tr2bl w:val="none" w:color="auto" w:sz="0" w:space="0"/>
        </w:tcBorders>
      </w:tcPr>
    </w:tblStylePr>
  </w:style>
  <w:style w:type="table" w:styleId="2f9">
    <w:name w:val="Table Colorful 2"/>
    <w:basedOn w:val="ab"/>
    <w:rsid w:val="00ea4301"/>
    <w:pPr>
      <w:spacing w:after="0" w:line="240" w:lineRule="auto"/>
    </w:pPr>
    <w:rPr>
      <w:lang w:eastAsia="ru-RU"/>
      <w:sz w:val="20"/>
      <w:szCs w:val="20"/>
    </w:rPr>
    <w:tblPr>
      <w:tblBorders>
        <w:bottom w:val="single" w:color="000000" w:sz="12" w:space="0"/>
      </w:tblBorders>
    </w:tblPr>
    <w:tcPr>
      <w:shd w:val="pct20" w:color="FFFF00" w:fill="FFFFFF"/>
    </w:tcPr>
    <w:tblStylePr w:type="firstRow">
      <w:rPr>
        <w:b/>
        <w:bCs/>
        <w:i/>
        <w:color w:val="FFFFFF"/>
      </w:rPr>
      <w:tblPr/>
      <w:tcPr>
        <w:tcBorders>
          <w:bottom w:val="single" w:color="000000" w:sz="12" w:space="0"/>
          <w:tl2br w:val="none" w:color="auto" w:sz="0" w:space="0"/>
          <w:tr2bl w:val="none" w:color="auto" w:sz="0" w:space="0"/>
        </w:tcBorders>
        <w:shd w:val="solid" w:color="800000" w:fill="FFFFFF"/>
      </w:tcPr>
    </w:tblStylePr>
    <w:tblStylePr w:type="firstCol">
      <w:rPr>
        <w:b/>
        <w:bCs/>
        <w:i/>
      </w:rPr>
      <w:tblPr/>
      <w:tcPr>
        <w:tcBorders>
          <w:tl2br w:val="none" w:color="auto" w:sz="0" w:space="0"/>
          <w:tr2bl w:val="none" w:color="auto" w:sz="0" w:space="0"/>
        </w:tcBorders>
      </w:tcPr>
    </w:tblStylePr>
    <w:tblStylePr w:type="lastCol">
      <w:tblPr/>
      <w:tcPr>
        <w:tcBorders>
          <w:tl2br w:val="none" w:color="auto" w:sz="0" w:space="0"/>
          <w:tr2bl w:val="none" w:color="auto" w:sz="0" w:space="0"/>
        </w:tcBorders>
        <w:shd w:val="solid" w:color="C0C0C0" w:fill="FFFFFF"/>
      </w:tcPr>
    </w:tblStylePr>
    <w:tblStylePr w:type="swCell">
      <w:rPr>
        <w:b/>
        <w:bCs/>
        <w:i w:val="0"/>
      </w:rPr>
      <w:tblPr/>
      <w:tcPr>
        <w:tcBorders>
          <w:tl2br w:val="none" w:color="auto" w:sz="0" w:space="0"/>
          <w:tr2bl w:val="none" w:color="auto" w:sz="0" w:space="0"/>
        </w:tcBorders>
      </w:tcPr>
    </w:tblStylePr>
  </w:style>
  <w:style w:type="table" w:styleId="3f4">
    <w:name w:val="Table Colorful 3"/>
    <w:basedOn w:val="ab"/>
    <w:rsid w:val="00ea4301"/>
    <w:pPr>
      <w:spacing w:after="0" w:line="240" w:lineRule="auto"/>
    </w:pPr>
    <w:rPr>
      <w:lang w:eastAsia="ru-RU"/>
      <w:sz w:val="20"/>
      <w:szCs w:val="20"/>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one" w:color="auto" w:sz="0" w:space="0"/>
          <w:tr2bl w:val="none" w:color="auto" w:sz="0" w:space="0"/>
        </w:tcBorders>
        <w:shd w:val="solid" w:color="008080" w:fill="FFFFFF"/>
      </w:tcPr>
    </w:tblStylePr>
    <w:tblStylePr w:type="firstCol">
      <w:tblPr/>
      <w:tcPr>
        <w:tcBorders>
          <w:left w:val="single" w:color="000000" w:sz="36" w:space="0"/>
          <w:right w:val="single" w:color="000000" w:sz="6" w:space="0"/>
          <w:tl2br w:val="none" w:color="auto" w:sz="0" w:space="0"/>
          <w:tr2bl w:val="none" w:color="auto" w:sz="0" w:space="0"/>
        </w:tcBorders>
        <w:shd w:val="solid" w:color="008080" w:fill="FFFFFF"/>
      </w:tcPr>
    </w:tblStylePr>
    <w:tblStylePr w:type="nwCell">
      <w:rPr>
        <w:b/>
        <w:bCs/>
        <w:color w:val="FFFFFF"/>
      </w:rPr>
      <w:tblPr/>
      <w:tcPr>
        <w:tcBorders>
          <w:tl2br w:val="none" w:color="auto" w:sz="0" w:space="0"/>
          <w:tr2bl w:val="none" w:color="auto" w:sz="0" w:space="0"/>
        </w:tcBorders>
        <w:shd w:val="solid" w:color="000000" w:fill="FFFFFF"/>
      </w:tcPr>
    </w:tblStylePr>
  </w:style>
  <w:style w:type="table" w:styleId="1f6">
    <w:name w:val="Table Columns 1"/>
    <w:basedOn w:val="ab"/>
    <w:rsid w:val="00ea4301"/>
    <w:pPr>
      <w:spacing w:after="0" w:line="240" w:lineRule="auto"/>
    </w:pPr>
    <w:rPr>
      <w:lang w:eastAsia="ru-RU"/>
      <w:b/>
      <w:bCs/>
      <w:sz w:val="20"/>
      <w:szCs w:val="20"/>
    </w:rPr>
    <w:tblPr>
      <w:tblStyleColBandSize w:val="1"/>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one" w:color="auto" w:sz="0" w:space="0"/>
          <w:tr2bl w:val="none" w:color="auto" w:sz="0" w:space="0"/>
        </w:tcBorders>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2fa">
    <w:name w:val="Table Columns 2"/>
    <w:basedOn w:val="ab"/>
    <w:rsid w:val="00ea4301"/>
    <w:pPr>
      <w:spacing w:after="0" w:line="240" w:lineRule="auto"/>
    </w:pPr>
    <w:rPr>
      <w:lang w:eastAsia="ru-RU"/>
      <w:b/>
      <w:bCs/>
      <w:sz w:val="20"/>
      <w:szCs w:val="20"/>
    </w:rPr>
    <w:tblPr>
      <w:tblStyleColBandSize w:val="1"/>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3f5">
    <w:name w:val="Table Columns 3"/>
    <w:basedOn w:val="ab"/>
    <w:rsid w:val="00ea4301"/>
    <w:pPr>
      <w:spacing w:after="0" w:line="240" w:lineRule="auto"/>
    </w:pPr>
    <w:rPr>
      <w:lang w:eastAsia="ru-RU"/>
      <w:b/>
      <w:bCs/>
      <w:sz w:val="20"/>
      <w:szCs w:val="20"/>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styleId="4c">
    <w:name w:val="Table Columns 4"/>
    <w:basedOn w:val="ab"/>
    <w:rsid w:val="00ea4301"/>
    <w:pPr>
      <w:spacing w:after="0" w:line="240" w:lineRule="auto"/>
    </w:pPr>
    <w:rPr>
      <w:lang w:eastAsia="ru-RU"/>
      <w:sz w:val="20"/>
      <w:szCs w:val="20"/>
    </w:rPr>
    <w:tblPr>
      <w:tblStyleColBandSize w:val="1"/>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b"/>
    <w:rsid w:val="00ea4301"/>
    <w:pPr>
      <w:spacing w:after="0" w:line="240" w:lineRule="auto"/>
    </w:pPr>
    <w:rPr>
      <w:lang w:eastAsia="ru-RU"/>
      <w:sz w:val="20"/>
      <w:szCs w:val="20"/>
    </w:r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blStylePr>
  </w:style>
  <w:style w:type="table" w:styleId="1f7">
    <w:name w:val="Table Grid 1"/>
    <w:basedOn w:val="ab"/>
    <w:rsid w:val="00ea4301"/>
    <w:pPr>
      <w:spacing w:after="0" w:line="240" w:lineRule="auto"/>
    </w:pPr>
    <w:rPr>
      <w:lang w:eastAsia="ru-RU"/>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styleId="2fb">
    <w:name w:val="Table Grid 2"/>
    <w:basedOn w:val="ab"/>
    <w:rsid w:val="00ea4301"/>
    <w:pPr>
      <w:spacing w:after="0" w:line="240" w:lineRule="auto"/>
    </w:pPr>
    <w:rPr>
      <w:lang w:eastAsia="ru-RU"/>
      <w:sz w:val="20"/>
      <w:szCs w:val="20"/>
    </w:rPr>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3f6">
    <w:name w:val="Table Grid 3"/>
    <w:basedOn w:val="ab"/>
    <w:rsid w:val="00ea4301"/>
    <w:pPr>
      <w:spacing w:after="0" w:line="240" w:lineRule="auto"/>
    </w:pPr>
    <w:rPr>
      <w:lang w:eastAsia="ru-RU"/>
      <w:sz w:val="20"/>
      <w:szCs w:val="20"/>
    </w:r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one" w:color="auto" w:sz="0" w:space="0"/>
          <w:tr2bl w:val="none" w:color="auto" w:sz="0" w:space="0"/>
        </w:tcBorders>
        <w:shd w:val="pct30" w:color="FFFF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4d">
    <w:name w:val="Table Grid 4"/>
    <w:basedOn w:val="ab"/>
    <w:rsid w:val="00ea4301"/>
    <w:pPr>
      <w:spacing w:after="0" w:line="240" w:lineRule="auto"/>
    </w:pPr>
    <w:rPr>
      <w:lang w:eastAsia="ru-RU"/>
      <w:sz w:val="20"/>
      <w:szCs w:val="20"/>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one" w:color="auto" w:sz="0" w:space="0"/>
          <w:tr2bl w:val="none" w:color="auto" w:sz="0" w:space="0"/>
        </w:tcBorders>
        <w:shd w:val="pct30" w:color="FFFF00" w:fill="FFFFFF"/>
      </w:tcPr>
    </w:tblStylePr>
    <w:tblStylePr w:type="lastRow">
      <w:rPr>
        <w:b/>
        <w:bCs/>
        <w:color w:val="auto"/>
      </w:rPr>
      <w:tblPr/>
      <w:tcPr>
        <w:tcBorders>
          <w:top w:val="single" w:color="000000" w:sz="6" w:space="0"/>
          <w:tl2br w:val="none" w:color="auto" w:sz="0" w:space="0"/>
          <w:tr2bl w:val="none" w:color="auto" w:sz="0" w:space="0"/>
        </w:tcBorders>
        <w:shd w:val="pct30" w:color="FFFF00" w:fill="FFFFFF"/>
      </w:tcPr>
    </w:tblStylePr>
    <w:tblStylePr w:type="lastCol">
      <w:rPr>
        <w:b/>
        <w:bCs/>
        <w:color w:val="auto"/>
      </w:rPr>
      <w:tblPr/>
      <w:tcPr>
        <w:tcBorders>
          <w:tl2br w:val="none" w:color="auto" w:sz="0" w:space="0"/>
          <w:tr2bl w:val="none" w:color="auto" w:sz="0" w:space="0"/>
        </w:tcBorders>
      </w:tcPr>
    </w:tblStylePr>
  </w:style>
  <w:style w:type="table" w:styleId="5b">
    <w:name w:val="Table Grid 5"/>
    <w:basedOn w:val="ab"/>
    <w:rsid w:val="00ea4301"/>
    <w:pPr>
      <w:spacing w:after="0" w:line="240" w:lineRule="auto"/>
    </w:pPr>
    <w:rPr>
      <w:lang w:eastAsia="ru-RU"/>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65">
    <w:name w:val="Table Grid 6"/>
    <w:basedOn w:val="ab"/>
    <w:rsid w:val="00ea4301"/>
    <w:pPr>
      <w:spacing w:after="0" w:line="240" w:lineRule="auto"/>
    </w:pPr>
    <w:rPr>
      <w:lang w:eastAsia="ru-RU"/>
      <w:sz w:val="20"/>
      <w:szCs w:val="20"/>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73">
    <w:name w:val="Table Grid 7"/>
    <w:basedOn w:val="ab"/>
    <w:rsid w:val="00ea4301"/>
    <w:pPr>
      <w:spacing w:after="0" w:line="240" w:lineRule="auto"/>
    </w:pPr>
    <w:rPr>
      <w:lang w:eastAsia="ru-RU"/>
      <w:b/>
      <w:bCs/>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one" w:color="auto" w:sz="0" w:space="0"/>
          <w:tr2bl w:val="none" w:color="auto" w:sz="0" w:space="0"/>
        </w:tcBorders>
      </w:tcPr>
    </w:tblStylePr>
    <w:tblStylePr w:type="lastRow">
      <w:rPr>
        <w:b w:val="0"/>
        <w:bCs w:val="0"/>
      </w:rPr>
      <w:tblPr/>
      <w:tcPr>
        <w:tcBorders>
          <w:top w:val="single" w:color="00000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83">
    <w:name w:val="Table Grid 8"/>
    <w:basedOn w:val="ab"/>
    <w:rsid w:val="00ea4301"/>
    <w:pPr>
      <w:spacing w:after="0" w:line="240" w:lineRule="auto"/>
    </w:pPr>
    <w:rPr>
      <w:lang w:eastAsia="ru-RU"/>
      <w:sz w:val="20"/>
      <w:szCs w:val="20"/>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styleId="-1">
    <w:name w:val="Table List 1"/>
    <w:basedOn w:val="ab"/>
    <w:rsid w:val="00ea4301"/>
    <w:pPr>
      <w:spacing w:after="0" w:line="240" w:lineRule="auto"/>
    </w:pPr>
    <w:rPr>
      <w:lang w:eastAsia="ru-RU"/>
      <w:sz w:val="20"/>
      <w:szCs w:val="20"/>
    </w:rPr>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2">
    <w:name w:val="Table List 2"/>
    <w:basedOn w:val="ab"/>
    <w:rsid w:val="00ea4301"/>
    <w:pPr>
      <w:spacing w:after="0" w:line="240" w:lineRule="auto"/>
    </w:pPr>
    <w:rPr>
      <w:lang w:eastAsia="ru-RU"/>
      <w:sz w:val="20"/>
      <w:szCs w:val="20"/>
    </w:rPr>
    <w:tblPr>
      <w:tblStyleRowBandSize w:val="2"/>
      <w:tblBorders>
        <w:bottom w:val="single" w:color="808080" w:sz="12" w:space="0"/>
      </w:tblBorders>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3">
    <w:name w:val="Table List 3"/>
    <w:basedOn w:val="ab"/>
    <w:rsid w:val="00ea4301"/>
    <w:pPr>
      <w:spacing w:after="0" w:line="240" w:lineRule="auto"/>
    </w:pPr>
    <w:rPr>
      <w:lang w:eastAsia="ru-RU"/>
      <w:sz w:val="20"/>
      <w:szCs w:val="20"/>
    </w:r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swCell">
      <w:rPr>
        <w:i/>
        <w:color w:val="000080"/>
      </w:rPr>
      <w:tblPr/>
      <w:tcPr>
        <w:tcBorders>
          <w:tl2br w:val="none" w:color="auto" w:sz="0" w:space="0"/>
          <w:tr2bl w:val="none" w:color="auto" w:sz="0" w:space="0"/>
        </w:tcBorders>
      </w:tcPr>
    </w:tblStylePr>
  </w:style>
  <w:style w:type="table" w:styleId="-4">
    <w:name w:val="Table List 4"/>
    <w:basedOn w:val="ab"/>
    <w:rsid w:val="00ea4301"/>
    <w:pPr>
      <w:spacing w:after="0" w:line="240" w:lineRule="auto"/>
    </w:pPr>
    <w:rPr>
      <w:lang w:eastAsia="ru-RU"/>
      <w:sz w:val="20"/>
      <w:szCs w:val="20"/>
    </w:r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one" w:color="auto" w:sz="0" w:space="0"/>
          <w:tr2bl w:val="none" w:color="auto" w:sz="0" w:space="0"/>
        </w:tcBorders>
        <w:shd w:val="solid" w:color="808080" w:fill="FFFFFF"/>
      </w:tcPr>
    </w:tblStylePr>
  </w:style>
  <w:style w:type="table" w:styleId="-5">
    <w:name w:val="Table List 5"/>
    <w:basedOn w:val="ab"/>
    <w:rsid w:val="00ea4301"/>
    <w:pPr>
      <w:spacing w:after="0" w:line="240" w:lineRule="auto"/>
    </w:pPr>
    <w:rPr>
      <w:lang w:eastAsia="ru-RU"/>
      <w:sz w:val="20"/>
      <w:szCs w:val="20"/>
    </w:r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style>
  <w:style w:type="table" w:styleId="-6">
    <w:name w:val="Table List 6"/>
    <w:basedOn w:val="ab"/>
    <w:rsid w:val="00ea4301"/>
    <w:pPr>
      <w:spacing w:after="0" w:line="240" w:lineRule="auto"/>
    </w:pPr>
    <w:rPr>
      <w:lang w:eastAsia="ru-RU"/>
      <w:sz w:val="20"/>
      <w:szCs w:val="20"/>
    </w:rPr>
    <w:tblPr>
      <w:tblStyleRowBandSize w:val="1"/>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band1Horz">
      <w:tblPr/>
      <w:tcPr>
        <w:tcBorders>
          <w:tl2br w:val="none" w:color="auto" w:sz="0" w:space="0"/>
          <w:tr2bl w:val="none" w:color="auto" w:sz="0" w:space="0"/>
        </w:tcBorders>
        <w:shd w:val="pct25" w:color="000000" w:fill="FFFFFF"/>
      </w:tcPr>
    </w:tblStylePr>
  </w:style>
  <w:style w:type="table" w:styleId="-7">
    <w:name w:val="Table List 7"/>
    <w:basedOn w:val="ab"/>
    <w:rsid w:val="00ea4301"/>
    <w:pPr>
      <w:spacing w:after="0" w:line="240" w:lineRule="auto"/>
    </w:pPr>
    <w:rPr>
      <w:lang w:eastAsia="ru-RU"/>
      <w:sz w:val="20"/>
      <w:szCs w:val="20"/>
    </w:rPr>
    <w:tblPr>
      <w:tblStyleRowBandSize w:val="1"/>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one" w:color="auto" w:sz="0" w:space="0"/>
          <w:tr2bl w:val="none" w:color="auto" w:sz="0" w:space="0"/>
        </w:tcBorders>
        <w:shd w:val="solid" w:color="C0C0C0" w:fill="FFFFFF"/>
      </w:tcPr>
    </w:tblStylePr>
    <w:tblStylePr w:type="lastRow">
      <w:rPr>
        <w:b/>
        <w:bCs/>
      </w:rPr>
      <w:tblPr/>
      <w:tcPr>
        <w:tcBorders>
          <w:top w:val="single" w:color="008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0000" w:fill="FFFFFF"/>
      </w:tcPr>
    </w:tblStylePr>
    <w:tblStylePr w:type="band2Horz">
      <w:tblPr/>
      <w:tcPr>
        <w:tcBorders>
          <w:tl2br w:val="none" w:color="auto" w:sz="0" w:space="0"/>
          <w:tr2bl w:val="none" w:color="auto" w:sz="0" w:space="0"/>
        </w:tcBorders>
        <w:shd w:val="pct25" w:color="FFFF00" w:fill="FFFFFF"/>
      </w:tcPr>
    </w:tblStylePr>
  </w:style>
  <w:style w:type="table" w:styleId="-8">
    <w:name w:val="Table List 8"/>
    <w:basedOn w:val="ab"/>
    <w:rsid w:val="00ea4301"/>
    <w:pPr>
      <w:spacing w:after="0" w:line="240" w:lineRule="auto"/>
    </w:pPr>
    <w:rPr>
      <w:lang w:eastAsia="ru-RU"/>
      <w:sz w:val="20"/>
      <w:szCs w:val="20"/>
    </w:rPr>
    <w:tblPr>
      <w:tblStyleRowBandSize w:val="1"/>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rPr>
      <w:tblPr/>
      <w:tcPr>
        <w:tcBorders>
          <w:bottom w:val="single" w:color="000000" w:sz="6" w:space="0"/>
          <w:tl2br w:val="none" w:color="auto" w:sz="0" w:space="0"/>
          <w:tr2bl w:val="none" w:color="auto" w:sz="0" w:space="0"/>
        </w:tcBorders>
        <w:shd w:val="solid" w:color="FFFF00" w:fill="FFFFFF"/>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5" w:color="FFFF00" w:fill="FFFFFF"/>
      </w:tcPr>
    </w:tblStylePr>
    <w:tblStylePr w:type="band2Horz">
      <w:tblPr/>
      <w:tcPr>
        <w:tcBorders>
          <w:tl2br w:val="none" w:color="auto" w:sz="0" w:space="0"/>
          <w:tr2bl w:val="none" w:color="auto" w:sz="0" w:space="0"/>
        </w:tcBorders>
        <w:shd w:val="pct50" w:color="FF0000" w:fill="FFFFFF"/>
      </w:tcPr>
    </w:tblStylePr>
  </w:style>
  <w:style w:type="table" w:styleId="1f8">
    <w:name w:val="Table 3D effects 1"/>
    <w:basedOn w:val="ab"/>
    <w:rsid w:val="00ea4301"/>
    <w:pPr>
      <w:spacing w:after="0" w:line="240" w:lineRule="auto"/>
    </w:pPr>
    <w:rPr>
      <w:lang w:eastAsia="ru-RU"/>
      <w:sz w:val="20"/>
      <w:szCs w:val="20"/>
    </w:rPr>
    <w:tcPr>
      <w:shd w:val="solid" w:color="C0C0C0" w:fill="FFFFFF"/>
    </w:tcPr>
    <w:tblStylePr w:type="firstRow">
      <w:rPr>
        <w:b/>
        <w:bCs/>
        <w:color w:val="800080"/>
      </w:rPr>
      <w:tblPr/>
      <w:tcPr>
        <w:tcBorders>
          <w:bottom w:val="single" w:color="808080" w:sz="6" w:space="0"/>
          <w:tl2br w:val="none" w:color="auto" w:sz="0" w:space="0"/>
          <w:tr2bl w:val="none" w:color="auto" w:sz="0" w:space="0"/>
        </w:tcBorders>
      </w:tcPr>
    </w:tblStylePr>
    <w:tblStylePr w:type="lastRow">
      <w:tblPr/>
      <w:tcPr>
        <w:tcBorders>
          <w:top w:val="single" w:color="FFFFFF" w:sz="6" w:space="0"/>
          <w:tl2br w:val="none" w:color="auto" w:sz="0" w:space="0"/>
          <w:tr2bl w:val="none" w:color="auto" w:sz="0" w:space="0"/>
        </w:tcBorders>
      </w:tcPr>
    </w:tblStylePr>
    <w:tblStylePr w:type="firstCol">
      <w:rPr>
        <w:b/>
        <w:bCs/>
      </w:rPr>
      <w:tblPr/>
      <w:tcPr>
        <w:tcBorders>
          <w:right w:val="single" w:color="808080" w:sz="6" w:space="0"/>
          <w:tl2br w:val="none" w:color="auto" w:sz="0" w:space="0"/>
          <w:tr2bl w:val="none" w:color="auto" w:sz="0" w:space="0"/>
        </w:tcBorders>
      </w:tcPr>
    </w:tblStylePr>
    <w:tblStylePr w:type="lastCol">
      <w:tblPr/>
      <w:tcPr>
        <w:tcBorders>
          <w:left w:val="single" w:color="FFFFFF" w:sz="6" w:space="0"/>
          <w:tl2br w:val="none" w:color="auto" w:sz="0" w:space="0"/>
          <w:tr2bl w:val="none" w:color="auto" w:sz="0" w:space="0"/>
        </w:tcBorders>
      </w:tcPr>
    </w:tblStylePr>
    <w:tblStylePr w:type="neCell">
      <w:tblPr/>
      <w:tcPr>
        <w:tcBorders>
          <w:left w:val="none" w:color="auto" w:sz="0" w:space="0"/>
          <w:bottom w:val="none" w:color="auto" w:sz="0" w:space="0"/>
          <w:tl2br w:val="none" w:color="auto" w:sz="0" w:space="0"/>
          <w:tr2bl w:val="none" w:color="auto" w:sz="0" w:space="0"/>
        </w:tcBorders>
      </w:tcPr>
    </w:tblStylePr>
    <w:tblStylePr w:type="nwCell">
      <w:tblPr/>
      <w:tcPr>
        <w:tcBorders>
          <w:bottom w:val="none" w:color="auto" w:sz="0" w:space="0"/>
          <w:right w:val="none" w:color="auto" w:sz="0" w:space="0"/>
          <w:tl2br w:val="none" w:color="auto" w:sz="0" w:space="0"/>
          <w:tr2bl w:val="none" w:color="auto" w:sz="0" w:space="0"/>
        </w:tcBorders>
      </w:tcPr>
    </w:tblStylePr>
    <w:tblStylePr w:type="seCell">
      <w:tblPr/>
      <w:tcPr>
        <w:tcBorders>
          <w:top w:val="none" w:color="auto" w:sz="0" w:space="0"/>
          <w:left w:val="none" w:color="auto" w:sz="0" w:space="0"/>
          <w:tl2br w:val="none" w:color="auto" w:sz="0" w:space="0"/>
          <w:tr2bl w:val="none" w:color="auto" w:sz="0" w:space="0"/>
        </w:tcBorders>
      </w:tcPr>
    </w:tblStylePr>
    <w:tblStylePr w:type="swCell">
      <w:rPr>
        <w:color w:val="000080"/>
      </w:rPr>
      <w:tblPr/>
      <w:tcPr>
        <w:tcBorders>
          <w:top w:val="none" w:color="auto" w:sz="0" w:space="0"/>
          <w:right w:val="none" w:color="auto" w:sz="0" w:space="0"/>
          <w:tl2br w:val="none" w:color="auto" w:sz="0" w:space="0"/>
          <w:tr2bl w:val="none" w:color="auto" w:sz="0" w:space="0"/>
        </w:tcBorders>
      </w:tcPr>
    </w:tblStylePr>
  </w:style>
  <w:style w:type="table" w:styleId="2fc">
    <w:name w:val="Table 3D effects 2"/>
    <w:basedOn w:val="ab"/>
    <w:rsid w:val="00ea4301"/>
    <w:pPr>
      <w:spacing w:after="0" w:line="240" w:lineRule="auto"/>
    </w:pPr>
    <w:rPr>
      <w:lang w:eastAsia="ru-RU"/>
      <w:sz w:val="20"/>
      <w:szCs w:val="20"/>
    </w:rPr>
    <w:tblPr>
      <w:tblStyleRowBandSize w:val="1"/>
    </w:tblPr>
    <w:tcPr>
      <w:shd w:val="solid" w:color="C0C0C0" w:fill="FFFFFF"/>
    </w:tc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3f7">
    <w:name w:val="Table 3D effects 3"/>
    <w:basedOn w:val="ab"/>
    <w:rsid w:val="00ea4301"/>
    <w:pPr>
      <w:spacing w:after="0" w:line="240" w:lineRule="auto"/>
    </w:pPr>
    <w:rPr>
      <w:lang w:eastAsia="ru-RU"/>
      <w:sz w:val="20"/>
      <w:szCs w:val="20"/>
    </w:rPr>
    <w:tblPr>
      <w:tblStyleRowBandSize w:val="1"/>
      <w:tblStyleColBandSize w:val="1"/>
    </w:tbl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afffffffc">
    <w:name w:val="Table Contemporary"/>
    <w:basedOn w:val="ab"/>
    <w:rsid w:val="00ea4301"/>
    <w:pPr>
      <w:spacing w:after="0" w:line="240" w:lineRule="auto"/>
    </w:pPr>
    <w:rPr>
      <w:lang w:eastAsia="ru-RU"/>
      <w:sz w:val="20"/>
      <w:szCs w:val="20"/>
    </w:rPr>
    <w:tblPr>
      <w:tblStyleRowBandSize w:val="1"/>
      <w:tblBorders>
        <w:insideH w:val="single" w:color="FFFFFF" w:sz="18" w:space="0"/>
        <w:insideV w:val="single" w:color="FFFFFF" w:sz="18" w:space="0"/>
      </w:tblBorders>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styleId="afffffffd">
    <w:name w:val="Table Elegant"/>
    <w:basedOn w:val="ab"/>
    <w:rsid w:val="00ea4301"/>
    <w:pPr>
      <w:spacing w:after="0" w:line="240" w:lineRule="auto"/>
    </w:pPr>
    <w:rPr>
      <w:lang w:eastAsia="ru-RU"/>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one" w:color="auto" w:sz="0" w:space="0"/>
          <w:tr2bl w:val="none" w:color="auto" w:sz="0" w:space="0"/>
        </w:tcBorders>
      </w:tcPr>
    </w:tblStylePr>
  </w:style>
  <w:style w:type="table" w:styleId="afffffffe">
    <w:name w:val="Table Professional"/>
    <w:basedOn w:val="ab"/>
    <w:rsid w:val="00ea4301"/>
    <w:pPr>
      <w:spacing w:after="0" w:line="240" w:lineRule="auto"/>
    </w:pPr>
    <w:rPr>
      <w:lang w:eastAsia="ru-RU"/>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styleId="1f9">
    <w:name w:val="Table Subtle 1"/>
    <w:basedOn w:val="ab"/>
    <w:rsid w:val="00ea4301"/>
    <w:pPr>
      <w:spacing w:after="0" w:line="240" w:lineRule="auto"/>
    </w:pPr>
    <w:rPr>
      <w:lang w:eastAsia="ru-RU"/>
      <w:sz w:val="20"/>
      <w:szCs w:val="20"/>
    </w:r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2fd">
    <w:name w:val="Table Subtle 2"/>
    <w:basedOn w:val="ab"/>
    <w:rsid w:val="00ea4301"/>
    <w:pPr>
      <w:spacing w:after="0" w:line="240" w:lineRule="auto"/>
    </w:pPr>
    <w:rPr>
      <w:lang w:eastAsia="ru-RU"/>
      <w:sz w:val="20"/>
      <w:szCs w:val="20"/>
    </w:r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10">
    <w:name w:val="Table Web 1"/>
    <w:basedOn w:val="ab"/>
    <w:rsid w:val="00ea4301"/>
    <w:pPr>
      <w:spacing w:after="0" w:line="240" w:lineRule="auto"/>
    </w:pPr>
    <w:rPr>
      <w:lang w:eastAsia="ru-RU"/>
      <w:sz w:val="20"/>
      <w:szCs w:val="20"/>
    </w:r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cPr>
      <w:shd w:val="clear" w:color="auto" w:fill="auto"/>
    </w:tcPr>
    <w:tblStylePr w:type="firstRow">
      <w:rPr>
        <w:color w:val="auto"/>
      </w:rPr>
      <w:tblPr/>
      <w:tcPr>
        <w:tcBorders>
          <w:tl2br w:val="none" w:color="auto" w:sz="0" w:space="0"/>
          <w:tr2bl w:val="none" w:color="auto" w:sz="0" w:space="0"/>
        </w:tcBorders>
      </w:tcPr>
    </w:tblStylePr>
  </w:style>
  <w:style w:type="table" w:styleId="-20">
    <w:name w:val="Table Web 2"/>
    <w:basedOn w:val="ab"/>
    <w:rsid w:val="00ea4301"/>
    <w:pPr>
      <w:spacing w:after="0" w:line="240" w:lineRule="auto"/>
    </w:pPr>
    <w:rPr>
      <w:lang w:eastAsia="ru-RU"/>
      <w:sz w:val="20"/>
      <w:szCs w:val="20"/>
    </w:r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cPr>
      <w:shd w:val="clear" w:color="auto" w:fill="auto"/>
    </w:tcPr>
    <w:tblStylePr w:type="firstRow">
      <w:rPr>
        <w:color w:val="auto"/>
      </w:rPr>
      <w:tblPr/>
      <w:tcPr>
        <w:tcBorders>
          <w:tl2br w:val="none" w:color="auto" w:sz="0" w:space="0"/>
          <w:tr2bl w:val="none" w:color="auto" w:sz="0" w:space="0"/>
        </w:tcBorders>
      </w:tcPr>
    </w:tblStylePr>
  </w:style>
  <w:style w:type="table" w:styleId="-30">
    <w:name w:val="Table Web 3"/>
    <w:basedOn w:val="ab"/>
    <w:rsid w:val="00ea4301"/>
    <w:pPr>
      <w:spacing w:after="0" w:line="240" w:lineRule="auto"/>
    </w:pPr>
    <w:rPr>
      <w:lang w:eastAsia="ru-RU"/>
      <w:sz w:val="20"/>
      <w:szCs w:val="20"/>
    </w:r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cPr>
      <w:shd w:val="clear" w:color="auto" w:fill="auto"/>
    </w:tcPr>
    <w:tblStylePr w:type="firstRow">
      <w:rPr>
        <w:color w:val="auto"/>
      </w:rPr>
      <w:tblPr/>
      <w:tcPr>
        <w:tcBorders>
          <w:tl2br w:val="none" w:color="auto" w:sz="0" w:space="0"/>
          <w:tr2bl w:val="none" w:color="auto" w:sz="0" w:space="0"/>
        </w:tcBorders>
      </w:tcPr>
    </w:tblStylePr>
  </w:style>
  <w:style w:type="table" w:styleId="affffffff1">
    <w:name w:val="Table Theme"/>
    <w:basedOn w:val="ab"/>
    <w:rsid w:val="00ea4301"/>
    <w:pPr>
      <w:spacing w:after="0" w:line="240" w:lineRule="auto"/>
    </w:pPr>
    <w:rPr>
      <w:lang w:eastAsia="ru-RU"/>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consultantplus://offline/ref=0EBDDF58CDA3B4D8B185D111EC6D1401DFACDE23BD08A96F80E9D2F87BABDFB6443210796D5D8CECcAE9J" TargetMode="External"/><Relationship Id="rId3" Type="http://schemas.openxmlformats.org/officeDocument/2006/relationships/hyperlink" Target="consultantplus://offline/ref=0EBDDF58CDA3B4D8B185D111EC6D1401DCACD82EBB0CA96F80E9D2F87BABDFB6443210796D5D8CECcAE9J" TargetMode="External"/><Relationship Id="rId4" Type="http://schemas.openxmlformats.org/officeDocument/2006/relationships/hyperlink" Target="consultantplus://offline/ref=0EBDDF58CDA3B4D8B185D111EC6D1401DCA6D928BC0FA96F80E9D2F87BABDFB6443210796D5C8DEDcAE4J" TargetMode="External"/><Relationship Id="rId5" Type="http://schemas.openxmlformats.org/officeDocument/2006/relationships/hyperlink" Target="consultantplus://offline/ref=0EBDDF58CDA3B4D8B185D111EC6D1401DFACDE23BD08A96F80E9D2F87BABDFB6443210796D5D8CECcAE9J" TargetMode="External"/><Relationship Id="rId6" Type="http://schemas.openxmlformats.org/officeDocument/2006/relationships/hyperlink" Target="consultantplus://offline/ref=0EBDDF58CDA3B4D8B185D111EC6D1401DCACD82EBB0CA96F80E9D2F87BABDFB6443210796D5D8CECcAE9J" TargetMode="External"/><Relationship Id="rId7" Type="http://schemas.openxmlformats.org/officeDocument/2006/relationships/hyperlink" Target="consultantplus://offline/ref=0EBDDF58CDA3B4D8B185D111EC6D1401DFACDE23BD08A96F80E9D2F87BABDFB6443210796D5D8CECcAE5J" TargetMode="External"/><Relationship Id="rId8" Type="http://schemas.openxmlformats.org/officeDocument/2006/relationships/hyperlink" Target="consultantplus://offline/ref=0EBDDF58CDA3B4D8B185D111EC6D1401DFACDE23BD08A96F80E9D2F87BABDFB6443210796D5D8CEDcAECJ" TargetMode="External"/><Relationship Id="rId9" Type="http://schemas.openxmlformats.org/officeDocument/2006/relationships/hyperlink" Target="consultantplus://offline/ref=0EBDDF58CDA3B4D8B185D111EC6D1401DFACDE23BD08A96F80E9D2F87BABDFB6443210796D5D8CEDcAE8J" TargetMode="External"/><Relationship Id="rId10" Type="http://schemas.openxmlformats.org/officeDocument/2006/relationships/hyperlink" Target="consultantplus://offline/ref=0EBDDF58CDA3B4D8B185D111EC6D1401DFACDE23BD08A96F80E9D2F87BABDFB6443210796D5D8CEDcAE4J" TargetMode="External"/><Relationship Id="rId11" Type="http://schemas.openxmlformats.org/officeDocument/2006/relationships/hyperlink" Target="consultantplus://offline/ref=0EBDDF58CDA3B4D8B185D111EC6D1401DFACDE23BD08A96F80E9D2F87BABDFB6443210796D5D8CEEcAECJ" TargetMode="External"/><Relationship Id="rId12" Type="http://schemas.openxmlformats.org/officeDocument/2006/relationships/hyperlink" Target="consultantplus://offline/ref=0EBDDF58CDA3B4D8B185D111EC6D1401DCACD82EBB0CA96F80E9D2F87BABDFB6443210796D5D8CECcAE5J" TargetMode="External"/><Relationship Id="rId13" Type="http://schemas.openxmlformats.org/officeDocument/2006/relationships/hyperlink" Target="consultantplus://offline/ref=0EBDDF58CDA3B4D8B185D111EC6D1401DFACDE23BD08A96F80E9D2F87BABDFB6443210796D5D8CEEcAE4J" TargetMode="External"/><Relationship Id="rId14" Type="http://schemas.openxmlformats.org/officeDocument/2006/relationships/hyperlink" Target="consultantplus://offline/ref=0EBDDF58CDA3B4D8B185D111EC6D1401DFACDE23BD08A96F80E9D2F87BABDFB6443210796D5D8CEFcAEEJ" TargetMode="External"/><Relationship Id="rId15" Type="http://schemas.openxmlformats.org/officeDocument/2006/relationships/hyperlink" Target="consultantplus://offline/ref=0EBDDF58CDA3B4D8B185D111EC6D1401DFACDE23BD08A96F80E9D2F87BABDFB6443210796D5D8CEFcAEFJ" TargetMode="External"/><Relationship Id="rId16" Type="http://schemas.openxmlformats.org/officeDocument/2006/relationships/hyperlink" Target="consultantplus://offline/ref=0EBDDF58CDA3B4D8B185D111EC6D1401DFACDE23BD08A96F80E9D2F87BABDFB6443210796D5D8CEFcAEBJ" TargetMode="External"/><Relationship Id="rId17" Type="http://schemas.openxmlformats.org/officeDocument/2006/relationships/hyperlink" Target="consultantplus://offline/ref=0EBDDF58CDA3B4D8B185D111EC6D1401DFACDE23BD08A96F80E9D2F87BABDFB6443210796D5D8CEFcAE4J" TargetMode="External"/><Relationship Id="rId18" Type="http://schemas.openxmlformats.org/officeDocument/2006/relationships/hyperlink" Target="consultantplus://offline/ref=0EBDDF58CDA3B4D8B185D111EC6D1401DFACDE23BD08A96F80E9D2F87BABDFB6443210796D5D8CE8cAEEJ" TargetMode="External"/><Relationship Id="rId19" Type="http://schemas.openxmlformats.org/officeDocument/2006/relationships/hyperlink" Target="consultantplus://offline/ref=0EBDDF58CDA3B4D8B185D111EC6D1401DFACDE23BD08A96F80E9D2F87BABDFB6443210796D5D8CE8cAEAJ" TargetMode="External"/><Relationship Id="rId20" Type="http://schemas.openxmlformats.org/officeDocument/2006/relationships/hyperlink" Target="consultantplus://offline/ref=0EBDDF58CDA3B4D8B185D111EC6D1401DFACDE23BD08A96F80E9D2F87BABDFB6443210796D5D8CE8cAE5J" TargetMode="External"/><Relationship Id="rId21" Type="http://schemas.openxmlformats.org/officeDocument/2006/relationships/hyperlink" Target="consultantplus://offline/ref=0EBDDF58CDA3B4D8B185D111EC6D1401DFACDE23BD08A96F80E9D2F87BABDFB6443210796D5D8CE9cAEFJ" TargetMode="External"/><Relationship Id="rId22" Type="http://schemas.openxmlformats.org/officeDocument/2006/relationships/hyperlink" Target="consultantplus://offline/ref=0EBDDF58CDA3B4D8B185D111EC6D1401DFACDE23BD08A96F80E9D2F87BABDFB6443210796D5D8CE9cAEBJ" TargetMode="External"/><Relationship Id="rId23" Type="http://schemas.openxmlformats.org/officeDocument/2006/relationships/hyperlink" Target="consultantplus://offline/ref=0EBDDF58CDA3B4D8B185D111EC6D1401DFACDE23BD08A96F80E9D2F87BABDFB6443210796D5D8CEAcAECJ" TargetMode="External"/><Relationship Id="rId24" Type="http://schemas.openxmlformats.org/officeDocument/2006/relationships/hyperlink" Target="consultantplus://offline/ref=0EBDDF58CDA3B4D8B185D111EC6D1401DFACDE23BD08A96F80E9D2F87BABDFB6443210796D5D8CEAcAEDJ" TargetMode="External"/><Relationship Id="rId25" Type="http://schemas.openxmlformats.org/officeDocument/2006/relationships/hyperlink" Target="consultantplus://offline/ref=0EBDDF58CDA3B4D8B185D111EC6D1401DFACDE23BD08A96F80E9D2F87BABDFB6443210796D5D8CEAcAEEJ" TargetMode="External"/><Relationship Id="rId26" Type="http://schemas.openxmlformats.org/officeDocument/2006/relationships/hyperlink" Target="consultantplus://offline/ref=0EBDDF58CDA3B4D8B185D111EC6D1401DFACDE23BD08A96F80E9D2F87BABDFB6443210796D5D8CEAcAEAJ" TargetMode="External"/><Relationship Id="rId27" Type="http://schemas.openxmlformats.org/officeDocument/2006/relationships/hyperlink" Target="consultantplus://offline/ref=0EBDDF58CDA3B4D8B185D111EC6D1401DFACDE23BD08A96F80E9D2F87BABDFB6443210796D5D8CEBcAECJ" TargetMode="External"/><Relationship Id="rId28" Type="http://schemas.openxmlformats.org/officeDocument/2006/relationships/hyperlink" Target="consultantplus://offline/ref=0EBDDF58CDA3B4D8B185D111EC6D1401DFACDE23BD08A96F80E9D2F87BABDFB6443210796D5D8CEBcAE8J" TargetMode="External"/><Relationship Id="rId29" Type="http://schemas.openxmlformats.org/officeDocument/2006/relationships/hyperlink" Target="consultantplus://offline/ref=0EBDDF58CDA3B4D8B185D111EC6D1401DFACDE23BD08A96F80E9D2F87BABDFB6443210796D5D8CEBcAEBJ" TargetMode="External"/><Relationship Id="rId30" Type="http://schemas.openxmlformats.org/officeDocument/2006/relationships/hyperlink" Target="consultantplus://offline/ref=0EBDDF58CDA3B4D8B185D111EC6D1401DFACDE23BD08A96F80E9D2F87BABDFB6443210796D5D8CEBcAE4J" TargetMode="External"/><Relationship Id="rId31" Type="http://schemas.openxmlformats.org/officeDocument/2006/relationships/hyperlink" Target="consultantplus://offline/ref=0EBDDF58CDA3B4D8B185D111EC6D1401DFACDE23BD08A96F80E9D2F87BABDFB6443210796D5D8CE4cAEEJ" TargetMode="External"/><Relationship Id="rId32" Type="http://schemas.openxmlformats.org/officeDocument/2006/relationships/hyperlink" Target="consultantplus://offline/ref=0EBDDF58CDA3B4D8B185D111EC6D1401DFACDE23BD08A96F80E9D2F87BABDFB6443210796D5D8CE4cAEFJ" TargetMode="External"/><Relationship Id="rId33" Type="http://schemas.openxmlformats.org/officeDocument/2006/relationships/hyperlink" Target="consultantplus://offline/ref=0EBDDF58CDA3B4D8B185D111EC6D1401DFACDE23BD08A96F80E9D2F87BABDFB6443210796D5D8CE4cAE8J" TargetMode="External"/><Relationship Id="rId34" Type="http://schemas.openxmlformats.org/officeDocument/2006/relationships/hyperlink" Target="consultantplus://offline/ref=0EBDDF58CDA3B4D8B185D111EC6D1401DFACDE23BD08A96F80E9D2F87BABDFB6443210796D5D8CE4cAE9J" TargetMode="External"/><Relationship Id="rId35" Type="http://schemas.openxmlformats.org/officeDocument/2006/relationships/hyperlink" Target="consultantplus://offline/ref=0EBDDF58CDA3B4D8B185D111EC6D1401DFACDE23BD08A96F80E9D2F87BABDFB6443210796D5D8CE4cAEAJ" TargetMode="External"/><Relationship Id="rId36" Type="http://schemas.openxmlformats.org/officeDocument/2006/relationships/hyperlink" Target="consultantplus://offline/ref=0EBDDF58CDA3B4D8B185D111EC6D1401DFACDE23BD08A96F80E9D2F87BABDFB6443210796D5D8CE5cAECJ" TargetMode="External"/><Relationship Id="rId37" Type="http://schemas.openxmlformats.org/officeDocument/2006/relationships/hyperlink" Target="consultantplus://offline/ref=0EBDDF58CDA3B4D8B185D111EC6D1401DFACDE23BD08A96F80E9D2F87BABDFB6443210796D5D8CE5cAE8J" TargetMode="External"/><Relationship Id="rId38" Type="http://schemas.openxmlformats.org/officeDocument/2006/relationships/hyperlink" Target="consultantplus://offline/ref=0EBDDF58CDA3B4D8B185D111EC6D1401DFACDE23BD08A96F80E9D2F87BABDFB6443210796D5D8CE5cAE4J" TargetMode="External"/><Relationship Id="rId39" Type="http://schemas.openxmlformats.org/officeDocument/2006/relationships/hyperlink" Target="consultantplus://offline/ref=0EBDDF58CDA3B4D8B185D111EC6D1401DFACDE23BD08A96F80E9D2F87BABDFB6443210796D5D8DECcAEEJ" TargetMode="External"/><Relationship Id="rId40" Type="http://schemas.openxmlformats.org/officeDocument/2006/relationships/hyperlink" Target="consultantplus://offline/ref=0EBDDF58CDA3B4D8B185D111EC6D1401DFACDE23BD08A96F80E9D2F87BABDFB6443210796D5D8DECcAEFJ" TargetMode="External"/><Relationship Id="rId41" Type="http://schemas.openxmlformats.org/officeDocument/2006/relationships/hyperlink" Target="consultantplus://offline/ref=0EBDDF58CDA3B4D8B185D111EC6D1401DFACDE23BD08A96F80E9D2F87BABDFB6443210796D5D8DECcAEBJ" TargetMode="External"/><Relationship Id="rId42" Type="http://schemas.openxmlformats.org/officeDocument/2006/relationships/hyperlink" Target="consultantplus://offline/ref=0EBDDF58CDA3B4D8B185D111EC6D1401DFACDE23BD08A96F80E9D2F87BABDFB6443210796D5D8DECcAE4J" TargetMode="External"/><Relationship Id="rId43" Type="http://schemas.openxmlformats.org/officeDocument/2006/relationships/hyperlink" Target="consultantplus://offline/ref=0EBDDF58CDA3B4D8B185D111EC6D1401DFACDE23BD08A96F80E9D2F87BABDFB6443210796D5D8DEDcAEEJ" TargetMode="External"/><Relationship Id="rId44" Type="http://schemas.openxmlformats.org/officeDocument/2006/relationships/hyperlink" Target="consultantplus://offline/ref=0EBDDF58CDA3B4D8B185D111EC6D1401DFACDE23BD08A96F80E9D2F87BABDFB6443210796D5D8DEDcAEFJ" TargetMode="External"/><Relationship Id="rId45" Type="http://schemas.openxmlformats.org/officeDocument/2006/relationships/hyperlink" Target="consultantplus://offline/ref=0EBDDF58CDA3B4D8B185D111EC6D1401DFACDE23BD08A96F80E9D2F87BABDFB6443210796D5D8DEDcAEBJ" TargetMode="External"/><Relationship Id="rId46" Type="http://schemas.openxmlformats.org/officeDocument/2006/relationships/hyperlink" Target="consultantplus://offline/ref=0EBDDF58CDA3B4D8B185D111EC6D1401DFACDE23BD08A96F80E9D2F87BABDFB6443210796D5D8DEEcAEDJ" TargetMode="External"/><Relationship Id="rId47" Type="http://schemas.openxmlformats.org/officeDocument/2006/relationships/hyperlink" Target="consultantplus://offline/ref=0EBDDF58CDA3B4D8B185D111EC6D1401DFACDE23BD08A96F80E9D2F87BABDFB6443210796D5D8DEEcAE9J" TargetMode="External"/><Relationship Id="rId48" Type="http://schemas.openxmlformats.org/officeDocument/2006/relationships/hyperlink" Target="consultantplus://offline/ref=0EBDDF58CDA3B4D8B185D111EC6D1401DFACDE23BD08A96F80E9D2F87BABDFB6443210796D5D8DEEcAE5J" TargetMode="External"/><Relationship Id="rId49" Type="http://schemas.openxmlformats.org/officeDocument/2006/relationships/hyperlink" Target="consultantplus://offline/ref=0EBDDF58CDA3B4D8B185D111EC6D1401DFACDE23BD08A96F80E9D2F87BABDFB6443210796D5D8DEFcAEFJ" TargetMode="External"/><Relationship Id="rId50" Type="http://schemas.openxmlformats.org/officeDocument/2006/relationships/hyperlink" Target="consultantplus://offline/ref=0EBDDF58CDA3B4D8B185D111EC6D1401DFACDE23BD08A96F80E9D2F87BABDFB6443210796D5D8DEFcAEBJ" TargetMode="External"/><Relationship Id="rId51" Type="http://schemas.openxmlformats.org/officeDocument/2006/relationships/hyperlink" Target="consultantplus://offline/ref=0EBDDF58CDA3B4D8B185D111EC6D1401DFACDE23BD08A96F80E9D2F87BABDFB6443210796D5D8DE8cAEDJ" TargetMode="External"/><Relationship Id="rId52" Type="http://schemas.openxmlformats.org/officeDocument/2006/relationships/hyperlink" Target="consultantplus://offline/ref=0EBDDF58CDA3B4D8B185D111EC6D1401DFACDE23BD08A96F80E9D2F87BABDFB6443210796D5D8DE8cAE9J" TargetMode="External"/><Relationship Id="rId53" Type="http://schemas.openxmlformats.org/officeDocument/2006/relationships/hyperlink" Target="consultantplus://offline/ref=0EBDDF58CDA3B4D8B185D111EC6D1401DFACDE23BD08A96F80E9D2F87BABDFB6443210796D5D8DE8cAE5J" TargetMode="External"/><Relationship Id="rId54" Type="http://schemas.openxmlformats.org/officeDocument/2006/relationships/hyperlink" Target="consultantplus://offline/ref=0EBDDF58CDA3B4D8B185D111EC6D1401DFACDE23BD08A96F80E9D2F87BABDFB6443210796D5D8DE9cAEFJ" TargetMode="External"/><Relationship Id="rId55" Type="http://schemas.openxmlformats.org/officeDocument/2006/relationships/hyperlink" Target="consultantplus://offline/ref=0EBDDF58CDA3B4D8B185D111EC6D1401DFACDE23BD08A96F80E9D2F87BABDFB6443210796D5D8DE9cAE8J" TargetMode="External"/><Relationship Id="rId56" Type="http://schemas.openxmlformats.org/officeDocument/2006/relationships/hyperlink" Target="consultantplus://offline/ref=0EBDDF58CDA3B4D8B185D111EC6D1401DFACDE23BD08A96F80E9D2F87BABDFB6443210796D5D8DE9cAE4J" TargetMode="External"/><Relationship Id="rId57" Type="http://schemas.openxmlformats.org/officeDocument/2006/relationships/hyperlink" Target="consultantplus://offline/ref=0EBDDF58CDA3B4D8B185D111EC6D1401DFACDE23BD08A96F80E9D2F87BABDFB6443210796D5D8DE9cAE5J" TargetMode="External"/><Relationship Id="rId58" Type="http://schemas.openxmlformats.org/officeDocument/2006/relationships/hyperlink" Target="consultantplus://offline/ref=0EBDDF58CDA3B4D8B185D111EC6D1401DFACDE23BD08A96F80E9D2F87BABDFB6443210796D5D8DEAcAECJ" TargetMode="External"/><Relationship Id="rId59" Type="http://schemas.openxmlformats.org/officeDocument/2006/relationships/hyperlink" Target="consultantplus://offline/ref=0EBDDF58CDA3B4D8B185D111EC6D1401DFACDE23BD08A96F80E9D2F87BABDFB6443210796D5D8DEAcAE8J" TargetMode="External"/><Relationship Id="rId60" Type="http://schemas.openxmlformats.org/officeDocument/2006/relationships/hyperlink" Target="consultantplus://offline/ref=0EBDDF58CDA3B4D8B185D111EC6D1401DFACDE23BD08A96F80E9D2F87BABDFB6443210796D5D8DEAcAE4J" TargetMode="External"/><Relationship Id="rId61" Type="http://schemas.openxmlformats.org/officeDocument/2006/relationships/hyperlink" Target="consultantplus://offline/ref=0EBDDF58CDA3B4D8B185D111EC6D1401DFACDE23BD08A96F80E9D2F87BABDFB6443210796D5D8DEBcAEEJ" TargetMode="External"/><Relationship Id="rId62" Type="http://schemas.openxmlformats.org/officeDocument/2006/relationships/hyperlink" Target="consultantplus://offline/ref=0EBDDF58CDA3B4D8B185D111EC6D1401DFACDE23BD08A96F80E9D2F87BABDFB6443210796D5D8DEBcAE9J" TargetMode="External"/><Relationship Id="rId63" Type="http://schemas.openxmlformats.org/officeDocument/2006/relationships/hyperlink" Target="consultantplus://offline/ref=0EBDDF58CDA3B4D8B185D111EC6D1401DFACDE23BD08A96F80E9D2F87BABDFB6443210796D5D8DEBcAE4J" TargetMode="External"/><Relationship Id="rId64" Type="http://schemas.openxmlformats.org/officeDocument/2006/relationships/hyperlink" Target="file:///C:/Users/d/Desktop/&#1055;&#1047;&#1047; &#1089; &#1089;&#1072;&#1081;&#1090;&#1072;/&#1055;&#1047;&#1047;-&#1059;&#1088;&#1091;&#1087;&#1089;&#1082;&#1086;&#1075;&#1086;-&#1089;&#1077;&#1083;&#1100;&#1089;&#1082;&#1086;&#1075;&#1086;-&#1087;&#1086;&#1089;&#1077;&#1083;&#1077;&#1085;&#1080;&#1103;/&#1055;&#1047;&#1047;-&#1059;&#1088;&#1091;&#1087;&#1089;&#1082;&#1086;&#1075;&#1086;-&#1089;&#1077;&#1083;&#1100;&#1089;&#1082;&#1086;&#1075;&#1086;-&#1087;&#1086;&#1089;&#1077;&#1083;&#1077;&#1085;&#1080;&#1103;/21.10.2013){&#1050;&#1086;&#1085;&#1089;&#1091;&#1083;&#1100;&#1090;&#1072;&#1085;&#1090;&#1055;&#1083;&#1102;&#1089;}" TargetMode="External"/><Relationship Id="rId65" Type="http://schemas.openxmlformats.org/officeDocument/2006/relationships/image" Target="media/image1.jpeg"/><Relationship Id="rId66" Type="http://schemas.openxmlformats.org/officeDocument/2006/relationships/image" Target="media/image2.jpeg"/><Relationship Id="rId67" Type="http://schemas.openxmlformats.org/officeDocument/2006/relationships/image" Target="media/image3.jpeg"/><Relationship Id="rId68" Type="http://schemas.openxmlformats.org/officeDocument/2006/relationships/image" Target="media/image4.jpeg"/><Relationship Id="rId69" Type="http://schemas.openxmlformats.org/officeDocument/2006/relationships/image" Target="media/image5.jpeg"/><Relationship Id="rId70" Type="http://schemas.openxmlformats.org/officeDocument/2006/relationships/image" Target="media/image6.jpeg"/><Relationship Id="rId71" Type="http://schemas.openxmlformats.org/officeDocument/2006/relationships/image" Target="media/image7.jpeg"/><Relationship Id="rId72" Type="http://schemas.openxmlformats.org/officeDocument/2006/relationships/image" Target="media/image8.jpeg"/><Relationship Id="rId73" Type="http://schemas.openxmlformats.org/officeDocument/2006/relationships/image" Target="media/image9.jpeg"/><Relationship Id="rId74" Type="http://schemas.openxmlformats.org/officeDocument/2006/relationships/image" Target="media/image10.jpeg"/><Relationship Id="rId75" Type="http://schemas.openxmlformats.org/officeDocument/2006/relationships/image" Target="media/image11.jpeg"/><Relationship Id="rId76" Type="http://schemas.openxmlformats.org/officeDocument/2006/relationships/image" Target="media/image12.jpeg"/><Relationship Id="rId77" Type="http://schemas.openxmlformats.org/officeDocument/2006/relationships/image" Target="media/image13.jpeg"/><Relationship Id="rId78" Type="http://schemas.openxmlformats.org/officeDocument/2006/relationships/image" Target="media/image14.jpeg"/><Relationship Id="rId79" Type="http://schemas.openxmlformats.org/officeDocument/2006/relationships/image" Target="media/image15.jpeg"/><Relationship Id="rId80" Type="http://schemas.openxmlformats.org/officeDocument/2006/relationships/footnotes" Target="footnotes.xml"/><Relationship Id="rId81" Type="http://schemas.openxmlformats.org/officeDocument/2006/relationships/numbering" Target="numbering.xml"/><Relationship Id="rId82" Type="http://schemas.openxmlformats.org/officeDocument/2006/relationships/fontTable" Target="fontTable.xml"/><Relationship Id="rId83" Type="http://schemas.openxmlformats.org/officeDocument/2006/relationships/settings" Target="settings.xml"/><Relationship Id="rId84" Type="http://schemas.openxmlformats.org/officeDocument/2006/relationships/theme" Target="theme/theme1.xml"/><Relationship Id="rId85"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4538E3-8ABA-4A03-8072-BAD4500D82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2355</TotalTime>
  <Application>LibreOffice/5.3.2.2$Windows_X86_64 LibreOffice_project/6cd4f1ef626f15116896b1d8e1398b56da0d0ee1</Application>
  <Pages>259</Pages>
  <Words>85228</Words>
  <Characters>626499</Characters>
  <CharactersWithSpaces>706301</CharactersWithSpaces>
  <Paragraphs>6570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2017-06-11T10:00:00Z</dcterms:created>
  <dc:creator>Пользователь Windows</dc:creator>
  <dc:description/>
  <dc:language>ru-RU</dc:language>
  <cp:lastModifiedBy/>
  <cp:lastPrinted>2018-01-09T17:00:23Z</cp:lastPrinted>
  <dcterms:modified xsi:type="dcterms:W3CDTF">2018-05-31T10:42:30Z</dcterms:modified>
  <cp:revision>58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