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4601C4" w:rsidRPr="004601C4" w:rsidRDefault="004601C4" w:rsidP="004601C4">
      <w:pPr>
        <w:widowControl w:val="0"/>
        <w:suppressAutoHyphens/>
        <w:ind w:left="5940"/>
        <w:jc w:val="center"/>
        <w:rPr>
          <w:lang w:eastAsia="ar-SA"/>
        </w:rPr>
      </w:pPr>
      <w:r w:rsidRPr="004601C4">
        <w:rPr>
          <w:lang w:eastAsia="ar-SA"/>
        </w:rPr>
        <w:t>Утверждена</w:t>
      </w:r>
    </w:p>
    <w:p w:rsidR="004601C4" w:rsidRPr="004601C4" w:rsidRDefault="004601C4" w:rsidP="004601C4">
      <w:pPr>
        <w:widowControl w:val="0"/>
        <w:suppressAutoHyphens/>
        <w:ind w:left="5940"/>
        <w:jc w:val="center"/>
        <w:rPr>
          <w:lang w:eastAsia="ar-SA"/>
        </w:rPr>
      </w:pPr>
      <w:r w:rsidRPr="004601C4">
        <w:rPr>
          <w:lang w:eastAsia="ar-SA"/>
        </w:rPr>
        <w:t xml:space="preserve"> распоряжением</w:t>
      </w:r>
    </w:p>
    <w:p w:rsidR="004601C4" w:rsidRPr="004601C4" w:rsidRDefault="004601C4" w:rsidP="004601C4">
      <w:pPr>
        <w:widowControl w:val="0"/>
        <w:suppressAutoHyphens/>
        <w:spacing w:after="60"/>
        <w:ind w:left="5940"/>
        <w:jc w:val="center"/>
        <w:rPr>
          <w:color w:val="000000"/>
          <w:lang w:eastAsia="ar-SA"/>
        </w:rPr>
      </w:pPr>
      <w:r w:rsidRPr="004601C4">
        <w:rPr>
          <w:lang w:eastAsia="ar-SA"/>
        </w:rPr>
        <w:t xml:space="preserve">администрации </w:t>
      </w:r>
      <w:proofErr w:type="spellStart"/>
      <w:r w:rsidRPr="004601C4">
        <w:rPr>
          <w:lang w:eastAsia="ar-SA"/>
        </w:rPr>
        <w:t>Урупского</w:t>
      </w:r>
      <w:proofErr w:type="spellEnd"/>
      <w:r w:rsidRPr="004601C4">
        <w:rPr>
          <w:lang w:eastAsia="ar-SA"/>
        </w:rPr>
        <w:t xml:space="preserve"> муниципального района</w:t>
      </w:r>
    </w:p>
    <w:p w:rsidR="004601C4" w:rsidRPr="004601C4" w:rsidRDefault="004601C4" w:rsidP="004601C4">
      <w:pPr>
        <w:widowControl w:val="0"/>
        <w:suppressAutoHyphens/>
        <w:spacing w:after="60"/>
        <w:ind w:left="5940"/>
        <w:jc w:val="center"/>
        <w:rPr>
          <w:lang w:eastAsia="ar-SA"/>
        </w:rPr>
      </w:pPr>
      <w:r w:rsidRPr="004601C4">
        <w:rPr>
          <w:color w:val="000000"/>
          <w:lang w:eastAsia="ar-SA"/>
        </w:rPr>
        <w:t>от 25</w:t>
      </w:r>
      <w:r w:rsidRPr="004601C4">
        <w:rPr>
          <w:lang w:eastAsia="ar-SA"/>
        </w:rPr>
        <w:t xml:space="preserve">.07.2018 № </w:t>
      </w:r>
      <w:r>
        <w:rPr>
          <w:lang w:eastAsia="ar-SA"/>
        </w:rPr>
        <w:t>141</w:t>
      </w:r>
      <w:r w:rsidRPr="004601C4">
        <w:rPr>
          <w:lang w:eastAsia="ar-SA"/>
        </w:rPr>
        <w:t xml:space="preserve">– </w:t>
      </w:r>
      <w:proofErr w:type="gramStart"/>
      <w:r w:rsidRPr="004601C4">
        <w:rPr>
          <w:lang w:eastAsia="ar-SA"/>
        </w:rPr>
        <w:t>р</w:t>
      </w:r>
      <w:proofErr w:type="gramEnd"/>
      <w:r w:rsidRPr="004601C4">
        <w:rPr>
          <w:color w:val="000000"/>
          <w:lang w:eastAsia="ar-SA"/>
        </w:rPr>
        <w:t xml:space="preserve">  </w:t>
      </w:r>
    </w:p>
    <w:p w:rsidR="004601C4" w:rsidRPr="004601C4" w:rsidRDefault="004601C4" w:rsidP="004601C4">
      <w:pPr>
        <w:widowControl w:val="0"/>
        <w:suppressAutoHyphens/>
        <w:spacing w:after="60"/>
        <w:ind w:left="5940"/>
        <w:jc w:val="center"/>
        <w:rPr>
          <w:lang w:eastAsia="ar-SA"/>
        </w:rPr>
      </w:pPr>
    </w:p>
    <w:p w:rsidR="004601C4" w:rsidRPr="004601C4" w:rsidRDefault="004601C4" w:rsidP="004601C4">
      <w:pPr>
        <w:widowControl w:val="0"/>
        <w:suppressAutoHyphens/>
        <w:spacing w:after="60"/>
        <w:ind w:left="5940"/>
        <w:jc w:val="center"/>
        <w:rPr>
          <w:color w:val="000000"/>
          <w:lang w:eastAsia="ar-SA"/>
        </w:rPr>
      </w:pPr>
      <w:r w:rsidRPr="004601C4">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4C3214" w:rsidRDefault="004F1B61" w:rsidP="004F1B61">
      <w:pPr>
        <w:tabs>
          <w:tab w:val="left" w:pos="0"/>
        </w:tabs>
        <w:jc w:val="center"/>
        <w:rPr>
          <w:b/>
          <w:sz w:val="30"/>
          <w:szCs w:val="30"/>
        </w:rPr>
      </w:pPr>
      <w:r w:rsidRPr="004F1B61">
        <w:rPr>
          <w:b/>
          <w:sz w:val="32"/>
          <w:szCs w:val="32"/>
        </w:rPr>
        <w:t xml:space="preserve">Ремонт автомобильных дорог в с. </w:t>
      </w:r>
      <w:proofErr w:type="gramStart"/>
      <w:r w:rsidRPr="004F1B61">
        <w:rPr>
          <w:b/>
          <w:sz w:val="32"/>
          <w:szCs w:val="32"/>
        </w:rPr>
        <w:t>Предгорное</w:t>
      </w:r>
      <w:proofErr w:type="gramEnd"/>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4F1B61" w:rsidRPr="00637075" w:rsidRDefault="004F1B61"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Контактный телефон: 8(87876) 6-15-96</w:t>
            </w:r>
          </w:p>
          <w:p w:rsidR="00E57D35" w:rsidRDefault="00E57D35" w:rsidP="00DB0741">
            <w:r w:rsidRPr="00E57D35">
              <w:t xml:space="preserve">эл. адрес: </w:t>
            </w:r>
            <w:proofErr w:type="spellStart"/>
            <w:r w:rsidRPr="00E57D35">
              <w:rPr>
                <w:lang w:val="en-US"/>
              </w:rPr>
              <w:t>econimik</w:t>
            </w:r>
            <w:proofErr w:type="spellEnd"/>
            <w:r w:rsidRPr="00E57D35">
              <w:t>_</w:t>
            </w:r>
            <w:proofErr w:type="spellStart"/>
            <w:r w:rsidRPr="00E57D35">
              <w:rPr>
                <w:lang w:val="en-US"/>
              </w:rPr>
              <w:t>urup</w:t>
            </w:r>
            <w:proofErr w:type="spellEnd"/>
            <w:r w:rsidRPr="00E57D35">
              <w:t>@</w:t>
            </w:r>
            <w:r w:rsidRPr="00E57D35">
              <w:rPr>
                <w:lang w:val="en-US"/>
              </w:rPr>
              <w:t>mail</w:t>
            </w:r>
            <w:r w:rsidRPr="00E57D35">
              <w:t>.</w:t>
            </w:r>
            <w:proofErr w:type="spellStart"/>
            <w:r w:rsidRPr="00E57D35">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E57D35" w:rsidRPr="00E57D35" w:rsidRDefault="00E57D35" w:rsidP="00E57D35">
            <w:pPr>
              <w:suppressAutoHyphens/>
              <w:autoSpaceDE w:val="0"/>
              <w:ind w:firstLine="720"/>
              <w:jc w:val="both"/>
              <w:rPr>
                <w:bCs/>
                <w:lang w:eastAsia="ar-SA"/>
              </w:rPr>
            </w:pPr>
            <w:r w:rsidRPr="00E57D35">
              <w:rPr>
                <w:bCs/>
                <w:lang w:eastAsia="ar-SA"/>
              </w:rPr>
              <w:t xml:space="preserve">Состав единой комиссии администрации </w:t>
            </w:r>
            <w:proofErr w:type="spellStart"/>
            <w:r w:rsidRPr="00E57D35">
              <w:rPr>
                <w:bCs/>
                <w:lang w:eastAsia="ar-SA"/>
              </w:rPr>
              <w:t>Урупского</w:t>
            </w:r>
            <w:proofErr w:type="spellEnd"/>
            <w:r w:rsidRPr="00E57D35">
              <w:rPr>
                <w:bCs/>
                <w:lang w:eastAsia="ar-SA"/>
              </w:rPr>
              <w:t xml:space="preserve"> муниципального района утвержден постановлением администрации </w:t>
            </w:r>
            <w:proofErr w:type="spellStart"/>
            <w:r w:rsidRPr="00E57D35">
              <w:rPr>
                <w:bCs/>
                <w:lang w:eastAsia="ar-SA"/>
              </w:rPr>
              <w:t>Урупского</w:t>
            </w:r>
            <w:proofErr w:type="spellEnd"/>
            <w:r w:rsidRPr="00E57D35">
              <w:rPr>
                <w:bCs/>
                <w:lang w:eastAsia="ar-SA"/>
              </w:rPr>
              <w:t xml:space="preserve"> муниципального района №                                                                                                                                                                </w:t>
            </w:r>
          </w:p>
          <w:p w:rsidR="00E57D35" w:rsidRPr="00E57D35" w:rsidRDefault="00E57D35" w:rsidP="00E57D35">
            <w:pPr>
              <w:suppressAutoHyphens/>
              <w:autoSpaceDE w:val="0"/>
              <w:ind w:firstLine="720"/>
              <w:jc w:val="both"/>
              <w:rPr>
                <w:bCs/>
                <w:lang w:eastAsia="ar-SA"/>
              </w:rPr>
            </w:pPr>
            <w:r w:rsidRPr="00E57D35">
              <w:rPr>
                <w:bCs/>
                <w:lang w:eastAsia="ar-SA"/>
              </w:rPr>
              <w:t>77 от 29.01.2014.</w:t>
            </w:r>
          </w:p>
          <w:p w:rsidR="00E57D35" w:rsidRPr="00E57D35" w:rsidRDefault="00E57D35" w:rsidP="00E57D35">
            <w:pPr>
              <w:suppressAutoHyphens/>
              <w:autoSpaceDE w:val="0"/>
              <w:ind w:firstLine="720"/>
              <w:jc w:val="both"/>
              <w:rPr>
                <w:lang w:eastAsia="ar-SA"/>
              </w:rPr>
            </w:pPr>
            <w:r w:rsidRPr="00E57D3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E57D35">
              <w:rPr>
                <w:bCs/>
                <w:lang w:eastAsia="ar-SA"/>
              </w:rPr>
              <w:t>Урупского</w:t>
            </w:r>
            <w:proofErr w:type="spellEnd"/>
            <w:r w:rsidRPr="00E57D35">
              <w:rPr>
                <w:bCs/>
                <w:lang w:eastAsia="ar-SA"/>
              </w:rPr>
              <w:t xml:space="preserve"> муниципального района» утверждена комиссия  в составе:</w:t>
            </w:r>
          </w:p>
          <w:p w:rsidR="00E57D35" w:rsidRPr="00E57D35" w:rsidRDefault="00E57D35" w:rsidP="00E57D35">
            <w:pPr>
              <w:autoSpaceDE w:val="0"/>
              <w:autoSpaceDN w:val="0"/>
              <w:adjustRightInd w:val="0"/>
              <w:jc w:val="both"/>
              <w:rPr>
                <w:b/>
                <w:bCs/>
              </w:rPr>
            </w:pPr>
          </w:p>
          <w:p w:rsidR="00E57D35" w:rsidRPr="00E57D35" w:rsidRDefault="00E57D35" w:rsidP="00E57D35">
            <w:pPr>
              <w:autoSpaceDE w:val="0"/>
              <w:autoSpaceDN w:val="0"/>
              <w:adjustRightInd w:val="0"/>
              <w:jc w:val="both"/>
              <w:rPr>
                <w:bCs/>
                <w:highlight w:val="yellow"/>
              </w:rPr>
            </w:pPr>
            <w:proofErr w:type="spellStart"/>
            <w:r w:rsidRPr="00E57D35">
              <w:rPr>
                <w:bCs/>
              </w:rPr>
              <w:t>Аджиев</w:t>
            </w:r>
            <w:proofErr w:type="spellEnd"/>
            <w:r w:rsidRPr="00E57D35">
              <w:rPr>
                <w:bCs/>
              </w:rPr>
              <w:t xml:space="preserve"> С.К.</w:t>
            </w:r>
            <w:r w:rsidRPr="00E57D35">
              <w:rPr>
                <w:bCs/>
              </w:rPr>
              <w:tab/>
              <w:t>-</w:t>
            </w:r>
            <w:r w:rsidRPr="00E57D35">
              <w:rPr>
                <w:bCs/>
              </w:rPr>
              <w:tab/>
              <w:t xml:space="preserve">заместитель главы администрации </w:t>
            </w:r>
            <w:proofErr w:type="spellStart"/>
            <w:r w:rsidRPr="00E57D35">
              <w:rPr>
                <w:bCs/>
              </w:rPr>
              <w:t>Урупского</w:t>
            </w:r>
            <w:proofErr w:type="spellEnd"/>
            <w:r w:rsidRPr="00E57D35">
              <w:rPr>
                <w:bCs/>
              </w:rPr>
              <w:t xml:space="preserve">      муниципального района, председатель комиссии;</w:t>
            </w:r>
          </w:p>
          <w:p w:rsidR="00E57D35" w:rsidRPr="00E57D35" w:rsidRDefault="00E57D35" w:rsidP="00E57D35">
            <w:pPr>
              <w:autoSpaceDE w:val="0"/>
              <w:autoSpaceDN w:val="0"/>
              <w:adjustRightInd w:val="0"/>
              <w:jc w:val="both"/>
              <w:rPr>
                <w:bCs/>
                <w:highlight w:val="yellow"/>
              </w:rPr>
            </w:pPr>
          </w:p>
          <w:p w:rsidR="00E57D35" w:rsidRPr="00E57D35" w:rsidRDefault="00E57D35" w:rsidP="00E57D35">
            <w:pPr>
              <w:autoSpaceDE w:val="0"/>
              <w:autoSpaceDN w:val="0"/>
              <w:adjustRightInd w:val="0"/>
              <w:jc w:val="both"/>
              <w:rPr>
                <w:bCs/>
              </w:rPr>
            </w:pPr>
            <w:proofErr w:type="spellStart"/>
            <w:r w:rsidRPr="00E57D35">
              <w:rPr>
                <w:bCs/>
              </w:rPr>
              <w:t>Мархель</w:t>
            </w:r>
            <w:proofErr w:type="spellEnd"/>
            <w:r w:rsidRPr="00E57D35">
              <w:rPr>
                <w:bCs/>
              </w:rPr>
              <w:t xml:space="preserve"> Ю.В.</w:t>
            </w:r>
            <w:r w:rsidRPr="00E57D35">
              <w:rPr>
                <w:bCs/>
              </w:rPr>
              <w:tab/>
              <w:t>-</w:t>
            </w:r>
            <w:r w:rsidRPr="00E57D3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E57D35">
              <w:rPr>
                <w:bCs/>
              </w:rPr>
              <w:t>Урупского</w:t>
            </w:r>
            <w:proofErr w:type="spellEnd"/>
            <w:r w:rsidRPr="00E57D35">
              <w:rPr>
                <w:bCs/>
              </w:rPr>
              <w:t xml:space="preserve"> муниципального района, секретарь комиссии;</w:t>
            </w:r>
          </w:p>
          <w:p w:rsidR="00E57D35" w:rsidRPr="00E57D35" w:rsidRDefault="00E57D35" w:rsidP="00E57D35">
            <w:pPr>
              <w:autoSpaceDE w:val="0"/>
              <w:autoSpaceDN w:val="0"/>
              <w:adjustRightInd w:val="0"/>
              <w:jc w:val="both"/>
              <w:rPr>
                <w:bCs/>
              </w:rPr>
            </w:pPr>
          </w:p>
          <w:p w:rsidR="00E57D35" w:rsidRPr="00E57D35" w:rsidRDefault="00E57D35" w:rsidP="00E57D35">
            <w:pPr>
              <w:autoSpaceDE w:val="0"/>
              <w:autoSpaceDN w:val="0"/>
              <w:adjustRightInd w:val="0"/>
              <w:jc w:val="both"/>
              <w:rPr>
                <w:bCs/>
                <w:highlight w:val="yellow"/>
              </w:rPr>
            </w:pPr>
            <w:r w:rsidRPr="00E57D35">
              <w:rPr>
                <w:bCs/>
              </w:rPr>
              <w:t>члены комиссии:</w:t>
            </w:r>
          </w:p>
          <w:p w:rsidR="00E57D35" w:rsidRPr="00E57D35" w:rsidRDefault="00E57D35" w:rsidP="00E57D35">
            <w:pPr>
              <w:autoSpaceDE w:val="0"/>
              <w:autoSpaceDN w:val="0"/>
              <w:adjustRightInd w:val="0"/>
              <w:jc w:val="both"/>
              <w:rPr>
                <w:b/>
                <w:bCs/>
              </w:rPr>
            </w:pPr>
          </w:p>
          <w:p w:rsidR="00E57D35" w:rsidRPr="00E57D35" w:rsidRDefault="00E57D35" w:rsidP="00E57D35">
            <w:pPr>
              <w:autoSpaceDE w:val="0"/>
              <w:autoSpaceDN w:val="0"/>
              <w:adjustRightInd w:val="0"/>
              <w:jc w:val="both"/>
              <w:rPr>
                <w:bCs/>
                <w:highlight w:val="yellow"/>
              </w:rPr>
            </w:pPr>
            <w:proofErr w:type="spellStart"/>
            <w:r w:rsidRPr="00E57D35">
              <w:rPr>
                <w:bCs/>
              </w:rPr>
              <w:t>Байрамкулов</w:t>
            </w:r>
            <w:proofErr w:type="spellEnd"/>
            <w:r w:rsidRPr="00E57D35">
              <w:rPr>
                <w:bCs/>
              </w:rPr>
              <w:t xml:space="preserve"> М.А.</w:t>
            </w:r>
            <w:r w:rsidRPr="00E57D35">
              <w:rPr>
                <w:bCs/>
              </w:rPr>
              <w:tab/>
              <w:t>-</w:t>
            </w:r>
            <w:r w:rsidRPr="00E57D35">
              <w:rPr>
                <w:bCs/>
              </w:rPr>
              <w:tab/>
              <w:t xml:space="preserve">юрисконсульт администрации </w:t>
            </w:r>
            <w:proofErr w:type="spellStart"/>
            <w:r w:rsidRPr="00E57D35">
              <w:rPr>
                <w:bCs/>
              </w:rPr>
              <w:t>Урупского</w:t>
            </w:r>
            <w:proofErr w:type="spellEnd"/>
            <w:r w:rsidRPr="00E57D35">
              <w:rPr>
                <w:bCs/>
              </w:rPr>
              <w:t xml:space="preserve"> муниципального района;</w:t>
            </w:r>
          </w:p>
          <w:p w:rsidR="00E57D35" w:rsidRPr="00E57D35" w:rsidRDefault="00E57D35" w:rsidP="00E57D35">
            <w:pPr>
              <w:autoSpaceDE w:val="0"/>
              <w:autoSpaceDN w:val="0"/>
              <w:adjustRightInd w:val="0"/>
              <w:jc w:val="both"/>
              <w:rPr>
                <w:bCs/>
              </w:rPr>
            </w:pPr>
          </w:p>
          <w:p w:rsidR="00E57D35" w:rsidRPr="00E57D35" w:rsidRDefault="00E57D35" w:rsidP="00E57D35">
            <w:pPr>
              <w:autoSpaceDE w:val="0"/>
              <w:autoSpaceDN w:val="0"/>
              <w:adjustRightInd w:val="0"/>
              <w:jc w:val="both"/>
              <w:rPr>
                <w:bCs/>
              </w:rPr>
            </w:pPr>
            <w:proofErr w:type="spellStart"/>
            <w:r w:rsidRPr="00E57D35">
              <w:rPr>
                <w:bCs/>
              </w:rPr>
              <w:t>Батчаева</w:t>
            </w:r>
            <w:proofErr w:type="spellEnd"/>
            <w:r w:rsidRPr="00E57D3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E57D35">
              <w:rPr>
                <w:bCs/>
              </w:rPr>
              <w:t>Урупского</w:t>
            </w:r>
            <w:proofErr w:type="spellEnd"/>
            <w:r w:rsidRPr="00E57D35">
              <w:rPr>
                <w:bCs/>
              </w:rPr>
              <w:t xml:space="preserve"> муниципального района;</w:t>
            </w:r>
          </w:p>
          <w:p w:rsidR="00E57D35" w:rsidRPr="00E57D35" w:rsidRDefault="00E57D35" w:rsidP="00E57D35">
            <w:pPr>
              <w:autoSpaceDE w:val="0"/>
              <w:autoSpaceDN w:val="0"/>
              <w:adjustRightInd w:val="0"/>
              <w:jc w:val="both"/>
              <w:rPr>
                <w:bCs/>
              </w:rPr>
            </w:pPr>
          </w:p>
          <w:p w:rsidR="00E57D35" w:rsidRPr="00E57D35" w:rsidRDefault="00E57D35" w:rsidP="00E57D35">
            <w:pPr>
              <w:autoSpaceDE w:val="0"/>
              <w:autoSpaceDN w:val="0"/>
              <w:adjustRightInd w:val="0"/>
              <w:jc w:val="both"/>
              <w:rPr>
                <w:bCs/>
              </w:rPr>
            </w:pPr>
            <w:proofErr w:type="spellStart"/>
            <w:r w:rsidRPr="00E57D35">
              <w:rPr>
                <w:bCs/>
              </w:rPr>
              <w:t>Таранова</w:t>
            </w:r>
            <w:proofErr w:type="spellEnd"/>
            <w:r w:rsidRPr="00E57D35">
              <w:rPr>
                <w:bCs/>
              </w:rPr>
              <w:t xml:space="preserve"> Д.Н.- начальник отдела архитектуры, строительства и жилищно-коммунального хозяйства администрации </w:t>
            </w:r>
            <w:proofErr w:type="spellStart"/>
            <w:r w:rsidRPr="00E57D35">
              <w:rPr>
                <w:bCs/>
              </w:rPr>
              <w:t>Урупского</w:t>
            </w:r>
            <w:proofErr w:type="spellEnd"/>
            <w:r w:rsidRPr="00E57D3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4F1B61"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4F1B61">
              <w:t>183091200056909120100100060074211000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16219F"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4F1B61" w:rsidP="00270C68">
            <w:pPr>
              <w:tabs>
                <w:tab w:val="left" w:pos="0"/>
              </w:tabs>
              <w:jc w:val="both"/>
              <w:rPr>
                <w:bCs/>
              </w:rPr>
            </w:pPr>
            <w:r w:rsidRPr="004F1B61">
              <w:t xml:space="preserve">Ремонт автомобильных дорог в с. </w:t>
            </w:r>
            <w:proofErr w:type="gramStart"/>
            <w:r w:rsidRPr="004F1B61">
              <w:t>Предгорное</w:t>
            </w:r>
            <w:proofErr w:type="gramEnd"/>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E57D35" w:rsidRPr="002662C4" w:rsidRDefault="00E57D35" w:rsidP="00270C68">
            <w:pPr>
              <w:tabs>
                <w:tab w:val="left" w:pos="1080"/>
              </w:tabs>
              <w:jc w:val="both"/>
              <w:rPr>
                <w:highlight w:val="yellow"/>
                <w:lang w:eastAsia="ar-SA"/>
              </w:rPr>
            </w:pPr>
            <w:r w:rsidRPr="00E57D35">
              <w:rPr>
                <w:lang w:eastAsia="ar-SA"/>
              </w:rPr>
              <w:t>31104091000180030244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4F1B61" w:rsidP="004F1B61">
            <w:pPr>
              <w:autoSpaceDE w:val="0"/>
              <w:autoSpaceDN w:val="0"/>
              <w:adjustRightInd w:val="0"/>
              <w:jc w:val="both"/>
            </w:pPr>
            <w:r>
              <w:t xml:space="preserve">493 758 </w:t>
            </w:r>
            <w:r w:rsidR="00DF7E5B" w:rsidRPr="001B0FA9">
              <w:t>(</w:t>
            </w:r>
            <w:r>
              <w:t>четыреста девяносто три тысячи семьсот пятьдесят восемь</w:t>
            </w:r>
            <w:r w:rsidR="001B0FA9">
              <w:t>) рубл</w:t>
            </w:r>
            <w:r w:rsidR="00157843">
              <w:t>ей</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B3341D" w:rsidRPr="00B3341D">
              <w:t xml:space="preserve">с. </w:t>
            </w:r>
            <w:proofErr w:type="gramStart"/>
            <w:r w:rsidR="00B3341D" w:rsidRPr="00B3341D">
              <w:t>Предгорное</w:t>
            </w:r>
            <w:proofErr w:type="gramEnd"/>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lastRenderedPageBreak/>
              <w:t>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w:t>
            </w:r>
            <w:r w:rsidRPr="00E36014">
              <w:lastRenderedPageBreak/>
              <w:t>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w:t>
            </w:r>
            <w:r w:rsidRPr="006C6798">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lastRenderedPageBreak/>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587EC0">
            <w:pPr>
              <w:pStyle w:val="ad"/>
              <w:tabs>
                <w:tab w:val="left" w:pos="0"/>
              </w:tabs>
              <w:ind w:left="0"/>
              <w:jc w:val="both"/>
              <w:rPr>
                <w:bCs/>
                <w:sz w:val="22"/>
                <w:szCs w:val="22"/>
              </w:rPr>
            </w:pPr>
            <w:r w:rsidRPr="00250469">
              <w:rPr>
                <w:szCs w:val="22"/>
              </w:rPr>
              <w:lastRenderedPageBreak/>
              <w:t>«</w:t>
            </w:r>
            <w:r w:rsidR="00587EC0">
              <w:rPr>
                <w:szCs w:val="22"/>
              </w:rPr>
              <w:t>26</w:t>
            </w:r>
            <w:r w:rsidRPr="00250469">
              <w:rPr>
                <w:szCs w:val="22"/>
              </w:rPr>
              <w:t xml:space="preserve">» </w:t>
            </w:r>
            <w:r>
              <w:rPr>
                <w:szCs w:val="22"/>
              </w:rPr>
              <w:t>июля</w:t>
            </w:r>
            <w:r w:rsidRPr="00250469">
              <w:rPr>
                <w:szCs w:val="22"/>
              </w:rPr>
              <w:t xml:space="preserve"> 201</w:t>
            </w:r>
            <w:r>
              <w:rPr>
                <w:szCs w:val="22"/>
              </w:rPr>
              <w:t>8</w:t>
            </w:r>
            <w:r w:rsidRPr="00250469">
              <w:rPr>
                <w:szCs w:val="22"/>
              </w:rPr>
              <w:t xml:space="preserve"> г. с момента размещения извещения о проведении </w:t>
            </w:r>
            <w:r w:rsidRPr="00250469">
              <w:rPr>
                <w:szCs w:val="22"/>
              </w:rPr>
              <w:lastRenderedPageBreak/>
              <w:t>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09-00 «</w:t>
            </w:r>
            <w:r w:rsidR="00587EC0">
              <w:rPr>
                <w:bCs/>
                <w:szCs w:val="22"/>
              </w:rPr>
              <w:t>03</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w:t>
            </w:r>
            <w:r w:rsidR="00587EC0">
              <w:rPr>
                <w:bCs/>
                <w:szCs w:val="22"/>
              </w:rPr>
              <w:t>06</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2314F3">
              <w:rPr>
                <w:szCs w:val="22"/>
              </w:rPr>
              <w:t>26</w:t>
            </w:r>
            <w:r w:rsidR="002314F3" w:rsidRPr="00250469">
              <w:rPr>
                <w:szCs w:val="22"/>
              </w:rPr>
              <w:t xml:space="preserve">» </w:t>
            </w:r>
            <w:r w:rsidR="002314F3">
              <w:rPr>
                <w:szCs w:val="22"/>
              </w:rPr>
              <w:t>июля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2314F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2314F3">
              <w:rPr>
                <w:bCs/>
                <w:szCs w:val="22"/>
              </w:rPr>
              <w:t>02</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A40659" w:rsidRDefault="00A40659" w:rsidP="00A40659">
            <w:pPr>
              <w:autoSpaceDE w:val="0"/>
              <w:autoSpaceDN w:val="0"/>
              <w:adjustRightInd w:val="0"/>
              <w:jc w:val="both"/>
              <w:rPr>
                <w:bCs/>
              </w:rPr>
            </w:pPr>
            <w:r w:rsidRPr="00A40659">
              <w:t xml:space="preserve">Не </w:t>
            </w:r>
            <w:r>
              <w:t>применяется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552644">
              <w:t xml:space="preserve">24 687 </w:t>
            </w:r>
            <w:r w:rsidRPr="00E36014">
              <w:t>руб</w:t>
            </w:r>
            <w:r>
              <w:t>лей</w:t>
            </w:r>
            <w:r w:rsidRPr="00E36014">
              <w:t xml:space="preserve"> </w:t>
            </w:r>
            <w:r w:rsidR="00552644">
              <w:t>9</w:t>
            </w:r>
            <w:r w:rsidR="00A40659">
              <w:t>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B5166D" w:rsidRDefault="00A40659" w:rsidP="00B5166D">
      <w:pPr>
        <w:autoSpaceDE w:val="0"/>
        <w:autoSpaceDN w:val="0"/>
        <w:adjustRightInd w:val="0"/>
        <w:jc w:val="center"/>
        <w:rPr>
          <w:b/>
        </w:rPr>
      </w:pPr>
      <w:r w:rsidRPr="00A40659">
        <w:rPr>
          <w:b/>
        </w:rPr>
        <w:tab/>
      </w:r>
      <w:r w:rsidR="0049620F" w:rsidRPr="0049620F">
        <w:rPr>
          <w:b/>
        </w:rPr>
        <w:t xml:space="preserve">Ремонт автомобильных дорог в с. </w:t>
      </w:r>
      <w:proofErr w:type="gramStart"/>
      <w:r w:rsidR="0049620F" w:rsidRPr="0049620F">
        <w:rPr>
          <w:b/>
        </w:rPr>
        <w:t>Предгорное</w:t>
      </w:r>
      <w:proofErr w:type="gramEnd"/>
    </w:p>
    <w:p w:rsidR="00A40659" w:rsidRDefault="00A40659"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w:t>
      </w:r>
      <w:proofErr w:type="spellStart"/>
      <w:r w:rsidR="00B5166D" w:rsidRPr="00B5166D">
        <w:t>Урупский</w:t>
      </w:r>
      <w:proofErr w:type="spellEnd"/>
      <w:r w:rsidR="00B5166D" w:rsidRPr="00B5166D">
        <w:t xml:space="preserve"> район, </w:t>
      </w:r>
      <w:r w:rsidR="0049620F" w:rsidRPr="0049620F">
        <w:t xml:space="preserve">с. </w:t>
      </w:r>
      <w:proofErr w:type="gramStart"/>
      <w:r w:rsidR="0049620F" w:rsidRPr="0049620F">
        <w:t>Предгорное</w:t>
      </w:r>
      <w:proofErr w:type="gramEnd"/>
    </w:p>
    <w:p w:rsidR="0049620F"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49620F">
        <w:t xml:space="preserve">493 758 </w:t>
      </w:r>
      <w:r w:rsidR="0049620F" w:rsidRPr="001B0FA9">
        <w:t>(</w:t>
      </w:r>
      <w:r w:rsidR="0049620F">
        <w:t xml:space="preserve">четыреста девяносто три тысячи семьсот пятьдесят восемь) рублей </w:t>
      </w:r>
      <w:r w:rsidR="0049620F" w:rsidRPr="001B0FA9">
        <w:t>00 копеек</w:t>
      </w:r>
      <w:r w:rsidR="0049620F">
        <w:t xml:space="preserve"> </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49620F">
        <w:t xml:space="preserve">с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proofErr w:type="gramStart"/>
      <w:r w:rsidRPr="00033E0E">
        <w:t>и</w:t>
      </w:r>
      <w:proofErr w:type="gramEnd"/>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3059CE">
      <w:pPr>
        <w:jc w:val="both"/>
      </w:pPr>
    </w:p>
    <w:p w:rsidR="003059CE" w:rsidRDefault="003059CE" w:rsidP="003059CE">
      <w:pPr>
        <w:jc w:val="both"/>
      </w:pPr>
    </w:p>
    <w:p w:rsidR="009D1E84" w:rsidRDefault="009D1E84" w:rsidP="003059CE">
      <w:pPr>
        <w:jc w:val="both"/>
      </w:pPr>
    </w:p>
    <w:p w:rsidR="00DF7E5B"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9D1E84" w:rsidRDefault="009D1E84" w:rsidP="009D1E84"/>
    <w:p w:rsidR="0049620F" w:rsidRDefault="0049620F" w:rsidP="0049620F">
      <w:pPr>
        <w:ind w:firstLine="708"/>
        <w:jc w:val="both"/>
      </w:pPr>
      <w:r w:rsidRPr="00A34E8E">
        <w:t xml:space="preserve">Смесь песчано-гравийная природная. Песчано-гравийная смесь должна соответствовать ГОСТ 23735-2014. Песчано-гравийная смесь должна представлять собой смесь песка и гравия. Наибольшая крупность зерен гравия в природной песчано-гравийной смеси должна быть не менее 10 мм, но не более 70 мм. Смесь должна быть из гравия с маркой </w:t>
      </w:r>
      <w:proofErr w:type="spellStart"/>
      <w:r w:rsidRPr="00A34E8E">
        <w:t>дробимости</w:t>
      </w:r>
      <w:proofErr w:type="spellEnd"/>
      <w:r w:rsidRPr="00A34E8E">
        <w:t xml:space="preserve"> выше 600. Гравий в составе смеси должен соответствовать ГОСТ 8267-93. Фракции гравия в составе смеси: от 5 до 10мм и/или от 10 до 20мм и/или от 20 </w:t>
      </w:r>
      <w:proofErr w:type="gramStart"/>
      <w:r w:rsidRPr="00A34E8E">
        <w:t>до</w:t>
      </w:r>
      <w:proofErr w:type="gramEnd"/>
      <w:r w:rsidRPr="00A34E8E">
        <w:t xml:space="preserve"> 40мм и/или от 40 до 70мм. Песок должен соответствовать ГОСТ 8736-2014.</w:t>
      </w:r>
    </w:p>
    <w:p w:rsidR="0049620F" w:rsidRPr="008A7004" w:rsidRDefault="0049620F" w:rsidP="0049620F">
      <w:pPr>
        <w:ind w:firstLine="708"/>
        <w:jc w:val="both"/>
        <w:rPr>
          <w:noProof/>
        </w:rPr>
      </w:pPr>
      <w:r w:rsidRPr="008A7004">
        <w:rPr>
          <w:shd w:val="clear" w:color="auto" w:fill="FFFFFF"/>
        </w:rPr>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49620F" w:rsidRPr="008A7004" w:rsidRDefault="0049620F" w:rsidP="0049620F">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49620F" w:rsidRPr="008A7004" w:rsidRDefault="0049620F" w:rsidP="0049620F">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w:t>
      </w:r>
      <w:r w:rsidRPr="008A7004">
        <w:rPr>
          <w:noProof/>
        </w:rPr>
        <w:lastRenderedPageBreak/>
        <w:t>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49620F" w:rsidRPr="008A7004" w:rsidTr="009B5B59">
        <w:trPr>
          <w:jc w:val="center"/>
        </w:trPr>
        <w:tc>
          <w:tcPr>
            <w:tcW w:w="3120" w:type="dxa"/>
            <w:vMerge w:val="restart"/>
            <w:shd w:val="clear" w:color="auto" w:fill="auto"/>
            <w:vAlign w:val="center"/>
          </w:tcPr>
          <w:p w:rsidR="0049620F" w:rsidRPr="008A7004" w:rsidRDefault="0049620F" w:rsidP="009B5B59">
            <w:pPr>
              <w:widowControl w:val="0"/>
              <w:jc w:val="both"/>
              <w:rPr>
                <w:rFonts w:eastAsia="Calibri"/>
              </w:rPr>
            </w:pPr>
            <w:r w:rsidRPr="008A7004">
              <w:rPr>
                <w:rFonts w:eastAsia="Calibri"/>
              </w:rPr>
              <w:t>Белый цвет</w:t>
            </w: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Х</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0,295</w:t>
            </w:r>
          </w:p>
        </w:tc>
      </w:tr>
      <w:tr w:rsidR="0049620F" w:rsidRPr="008A7004" w:rsidTr="009B5B59">
        <w:trPr>
          <w:jc w:val="center"/>
        </w:trPr>
        <w:tc>
          <w:tcPr>
            <w:tcW w:w="3120" w:type="dxa"/>
            <w:vMerge/>
            <w:shd w:val="clear" w:color="auto" w:fill="auto"/>
            <w:vAlign w:val="center"/>
          </w:tcPr>
          <w:p w:rsidR="0049620F" w:rsidRPr="008A7004" w:rsidRDefault="0049620F" w:rsidP="009B5B59">
            <w:pPr>
              <w:widowControl w:val="0"/>
              <w:jc w:val="both"/>
              <w:rPr>
                <w:rFonts w:eastAsia="Calibri"/>
              </w:rPr>
            </w:pP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У</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0,315</w:t>
            </w:r>
          </w:p>
        </w:tc>
      </w:tr>
      <w:tr w:rsidR="0049620F" w:rsidRPr="008A7004" w:rsidTr="009B5B59">
        <w:trPr>
          <w:jc w:val="center"/>
        </w:trPr>
        <w:tc>
          <w:tcPr>
            <w:tcW w:w="3120" w:type="dxa"/>
            <w:vMerge w:val="restart"/>
            <w:shd w:val="clear" w:color="auto" w:fill="auto"/>
            <w:vAlign w:val="center"/>
          </w:tcPr>
          <w:p w:rsidR="0049620F" w:rsidRPr="008A7004" w:rsidRDefault="0049620F" w:rsidP="009B5B59">
            <w:pPr>
              <w:widowControl w:val="0"/>
              <w:jc w:val="both"/>
              <w:rPr>
                <w:rFonts w:eastAsia="Calibri"/>
              </w:rPr>
            </w:pPr>
            <w:r w:rsidRPr="008A7004">
              <w:rPr>
                <w:rFonts w:eastAsia="Calibri"/>
              </w:rPr>
              <w:t>Красный цвет</w:t>
            </w: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Х</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0,610</w:t>
            </w:r>
          </w:p>
        </w:tc>
      </w:tr>
      <w:tr w:rsidR="0049620F" w:rsidRPr="008A7004" w:rsidTr="009B5B59">
        <w:trPr>
          <w:jc w:val="center"/>
        </w:trPr>
        <w:tc>
          <w:tcPr>
            <w:tcW w:w="3120" w:type="dxa"/>
            <w:vMerge/>
            <w:shd w:val="clear" w:color="auto" w:fill="auto"/>
            <w:vAlign w:val="center"/>
          </w:tcPr>
          <w:p w:rsidR="0049620F" w:rsidRPr="008A7004" w:rsidRDefault="0049620F" w:rsidP="009B5B59">
            <w:pPr>
              <w:widowControl w:val="0"/>
              <w:jc w:val="both"/>
              <w:rPr>
                <w:rFonts w:eastAsia="Calibri"/>
              </w:rPr>
            </w:pP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У</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0,250</w:t>
            </w:r>
          </w:p>
        </w:tc>
      </w:tr>
      <w:tr w:rsidR="0049620F" w:rsidRPr="008A7004" w:rsidTr="009B5B59">
        <w:trPr>
          <w:jc w:val="center"/>
        </w:trPr>
        <w:tc>
          <w:tcPr>
            <w:tcW w:w="3120" w:type="dxa"/>
            <w:vMerge w:val="restart"/>
            <w:shd w:val="clear" w:color="auto" w:fill="auto"/>
            <w:vAlign w:val="center"/>
          </w:tcPr>
          <w:p w:rsidR="0049620F" w:rsidRPr="008A7004" w:rsidRDefault="0049620F" w:rsidP="009B5B59">
            <w:pPr>
              <w:widowControl w:val="0"/>
              <w:jc w:val="both"/>
              <w:rPr>
                <w:rFonts w:eastAsia="Calibri"/>
              </w:rPr>
            </w:pPr>
            <w:r w:rsidRPr="008A7004">
              <w:rPr>
                <w:rFonts w:eastAsia="Calibri"/>
              </w:rPr>
              <w:t>Желтый или желтый флуоресцентный цвет</w:t>
            </w: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Х</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0,454</w:t>
            </w:r>
          </w:p>
        </w:tc>
      </w:tr>
      <w:tr w:rsidR="0049620F" w:rsidRPr="008A7004" w:rsidTr="009B5B59">
        <w:trPr>
          <w:jc w:val="center"/>
        </w:trPr>
        <w:tc>
          <w:tcPr>
            <w:tcW w:w="3120" w:type="dxa"/>
            <w:vMerge/>
            <w:shd w:val="clear" w:color="auto" w:fill="auto"/>
            <w:vAlign w:val="center"/>
          </w:tcPr>
          <w:p w:rsidR="0049620F" w:rsidRPr="008A7004" w:rsidRDefault="0049620F" w:rsidP="009B5B59">
            <w:pPr>
              <w:widowControl w:val="0"/>
              <w:jc w:val="both"/>
              <w:rPr>
                <w:rFonts w:eastAsia="Calibri"/>
              </w:rPr>
            </w:pP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У</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0,424</w:t>
            </w:r>
          </w:p>
        </w:tc>
      </w:tr>
      <w:tr w:rsidR="0049620F" w:rsidRPr="008A7004" w:rsidTr="009B5B59">
        <w:trPr>
          <w:jc w:val="center"/>
        </w:trPr>
        <w:tc>
          <w:tcPr>
            <w:tcW w:w="3120" w:type="dxa"/>
            <w:vMerge w:val="restart"/>
            <w:shd w:val="clear" w:color="auto" w:fill="auto"/>
            <w:vAlign w:val="center"/>
          </w:tcPr>
          <w:p w:rsidR="0049620F" w:rsidRPr="008A7004" w:rsidRDefault="0049620F" w:rsidP="009B5B59">
            <w:pPr>
              <w:widowControl w:val="0"/>
              <w:jc w:val="both"/>
              <w:rPr>
                <w:rFonts w:eastAsia="Calibri"/>
              </w:rPr>
            </w:pPr>
            <w:r w:rsidRPr="008A7004">
              <w:rPr>
                <w:rFonts w:eastAsia="Calibri"/>
              </w:rPr>
              <w:t>Оранжевый или оранжевый флуоресцентный цвет</w:t>
            </w: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Х</w:t>
            </w:r>
          </w:p>
        </w:tc>
        <w:tc>
          <w:tcPr>
            <w:tcW w:w="1276" w:type="dxa"/>
            <w:shd w:val="clear" w:color="auto" w:fill="auto"/>
          </w:tcPr>
          <w:p w:rsidR="0049620F" w:rsidRPr="008A7004" w:rsidRDefault="0049620F" w:rsidP="009B5B59">
            <w:pPr>
              <w:widowControl w:val="0"/>
              <w:jc w:val="both"/>
              <w:rPr>
                <w:rFonts w:eastAsia="Calibri"/>
              </w:rPr>
            </w:pPr>
            <w:r>
              <w:rPr>
                <w:rFonts w:eastAsia="Calibri"/>
              </w:rPr>
              <w:t>0,506</w:t>
            </w:r>
          </w:p>
        </w:tc>
      </w:tr>
      <w:tr w:rsidR="0049620F" w:rsidRPr="008A7004" w:rsidTr="009B5B59">
        <w:trPr>
          <w:jc w:val="center"/>
        </w:trPr>
        <w:tc>
          <w:tcPr>
            <w:tcW w:w="3120" w:type="dxa"/>
            <w:vMerge/>
            <w:shd w:val="clear" w:color="auto" w:fill="auto"/>
            <w:vAlign w:val="center"/>
          </w:tcPr>
          <w:p w:rsidR="0049620F" w:rsidRPr="008A7004" w:rsidRDefault="0049620F" w:rsidP="009B5B59">
            <w:pPr>
              <w:widowControl w:val="0"/>
              <w:jc w:val="both"/>
              <w:rPr>
                <w:rFonts w:eastAsia="Calibri"/>
              </w:rPr>
            </w:pP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У</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0,351</w:t>
            </w:r>
          </w:p>
        </w:tc>
      </w:tr>
      <w:tr w:rsidR="0049620F" w:rsidRPr="008A7004" w:rsidTr="009B5B59">
        <w:trPr>
          <w:jc w:val="center"/>
        </w:trPr>
        <w:tc>
          <w:tcPr>
            <w:tcW w:w="3120" w:type="dxa"/>
            <w:vMerge w:val="restart"/>
            <w:shd w:val="clear" w:color="auto" w:fill="auto"/>
            <w:vAlign w:val="center"/>
          </w:tcPr>
          <w:p w:rsidR="0049620F" w:rsidRPr="008A7004" w:rsidRDefault="0049620F" w:rsidP="009B5B59">
            <w:pPr>
              <w:widowControl w:val="0"/>
              <w:jc w:val="both"/>
              <w:rPr>
                <w:rFonts w:eastAsia="Calibri"/>
              </w:rPr>
            </w:pPr>
            <w:r w:rsidRPr="008A7004">
              <w:rPr>
                <w:rFonts w:eastAsia="Calibri"/>
              </w:rPr>
              <w:t>Синий цвет</w:t>
            </w: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Х</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0,130</w:t>
            </w:r>
          </w:p>
        </w:tc>
      </w:tr>
      <w:tr w:rsidR="0049620F" w:rsidRPr="008A7004" w:rsidTr="009B5B59">
        <w:trPr>
          <w:jc w:val="center"/>
        </w:trPr>
        <w:tc>
          <w:tcPr>
            <w:tcW w:w="3120" w:type="dxa"/>
            <w:vMerge/>
            <w:shd w:val="clear" w:color="auto" w:fill="auto"/>
          </w:tcPr>
          <w:p w:rsidR="0049620F" w:rsidRPr="008A7004" w:rsidRDefault="0049620F" w:rsidP="009B5B59">
            <w:pPr>
              <w:widowControl w:val="0"/>
              <w:jc w:val="both"/>
              <w:rPr>
                <w:rFonts w:eastAsia="Calibri"/>
              </w:rPr>
            </w:pPr>
          </w:p>
        </w:tc>
        <w:tc>
          <w:tcPr>
            <w:tcW w:w="1128" w:type="dxa"/>
            <w:shd w:val="clear" w:color="auto" w:fill="auto"/>
          </w:tcPr>
          <w:p w:rsidR="0049620F" w:rsidRPr="008A7004" w:rsidRDefault="0049620F" w:rsidP="009B5B59">
            <w:pPr>
              <w:widowControl w:val="0"/>
              <w:jc w:val="both"/>
              <w:rPr>
                <w:rFonts w:eastAsia="Calibri"/>
              </w:rPr>
            </w:pPr>
            <w:r w:rsidRPr="008A7004">
              <w:rPr>
                <w:rFonts w:eastAsia="Calibri"/>
              </w:rPr>
              <w:t>У</w:t>
            </w:r>
          </w:p>
        </w:tc>
        <w:tc>
          <w:tcPr>
            <w:tcW w:w="1276" w:type="dxa"/>
            <w:shd w:val="clear" w:color="auto" w:fill="auto"/>
          </w:tcPr>
          <w:p w:rsidR="0049620F" w:rsidRPr="008A7004" w:rsidRDefault="0049620F" w:rsidP="009B5B59">
            <w:pPr>
              <w:widowControl w:val="0"/>
              <w:jc w:val="both"/>
              <w:rPr>
                <w:rFonts w:eastAsia="Calibri"/>
              </w:rPr>
            </w:pPr>
            <w:r w:rsidRPr="008A7004">
              <w:rPr>
                <w:rFonts w:eastAsia="Calibri"/>
              </w:rPr>
              <w:t>0,0</w:t>
            </w:r>
            <w:r>
              <w:rPr>
                <w:rFonts w:eastAsia="Calibri"/>
              </w:rPr>
              <w:t>86</w:t>
            </w:r>
          </w:p>
        </w:tc>
      </w:tr>
    </w:tbl>
    <w:p w:rsidR="0049620F" w:rsidRDefault="0049620F" w:rsidP="0049620F">
      <w:pPr>
        <w:ind w:firstLine="708"/>
        <w:jc w:val="both"/>
        <w:rPr>
          <w:shd w:val="clear" w:color="auto" w:fill="FFFFFF"/>
        </w:rPr>
      </w:pPr>
    </w:p>
    <w:p w:rsidR="0049620F" w:rsidRPr="008A7004" w:rsidRDefault="0049620F" w:rsidP="0049620F">
      <w:pPr>
        <w:jc w:val="both"/>
        <w:rPr>
          <w:noProof/>
        </w:rPr>
      </w:pPr>
    </w:p>
    <w:p w:rsidR="0049620F" w:rsidRPr="00750961" w:rsidRDefault="0049620F" w:rsidP="0049620F">
      <w:pPr>
        <w:jc w:val="both"/>
      </w:pPr>
    </w:p>
    <w:p w:rsidR="0049620F" w:rsidRPr="00A34E8E" w:rsidRDefault="0049620F" w:rsidP="0049620F">
      <w:pPr>
        <w:ind w:firstLine="708"/>
        <w:jc w:val="both"/>
        <w:rPr>
          <w:b/>
          <w:sz w:val="28"/>
        </w:rPr>
      </w:pPr>
    </w:p>
    <w:p w:rsidR="009D1E84" w:rsidRDefault="009D1E84"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49620F" w:rsidRDefault="0049620F"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Default="009D1E84" w:rsidP="008B0FDA">
      <w:pPr>
        <w:tabs>
          <w:tab w:val="left" w:pos="7845"/>
        </w:tabs>
        <w:jc w:val="center"/>
        <w:rPr>
          <w:rFonts w:eastAsia="Calibri"/>
          <w:b/>
          <w:bCs/>
        </w:rPr>
      </w:pPr>
    </w:p>
    <w:p w:rsidR="009D1E84" w:rsidRPr="008B0FDA" w:rsidRDefault="009D1E84" w:rsidP="008B0FDA">
      <w:pPr>
        <w:tabs>
          <w:tab w:val="left" w:pos="7845"/>
        </w:tabs>
        <w:jc w:val="center"/>
        <w:rPr>
          <w:rFonts w:eastAsia="Calibri"/>
          <w:b/>
          <w:bCs/>
        </w:rPr>
      </w:pPr>
    </w:p>
    <w:p w:rsidR="00DF7E5B" w:rsidRPr="00182F47" w:rsidRDefault="00DF7E5B" w:rsidP="00000C1D">
      <w:pPr>
        <w:pStyle w:val="1"/>
        <w:numPr>
          <w:ilvl w:val="0"/>
          <w:numId w:val="0"/>
        </w:numPr>
        <w:spacing w:before="0" w:after="0"/>
        <w:rPr>
          <w:bCs/>
          <w:sz w:val="24"/>
          <w:szCs w:val="24"/>
        </w:rPr>
      </w:pPr>
      <w:bookmarkStart w:id="90" w:name="_Toc205370594"/>
      <w:bookmarkStart w:id="91" w:name="_Toc260918478"/>
      <w:bookmarkStart w:id="92" w:name="_Toc283298643"/>
      <w:bookmarkStart w:id="93" w:name="_Toc330804389"/>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9D1E84" w:rsidRDefault="00396D18" w:rsidP="009D1E84">
      <w:pPr>
        <w:autoSpaceDE w:val="0"/>
        <w:autoSpaceDN w:val="0"/>
        <w:adjustRightInd w:val="0"/>
        <w:jc w:val="center"/>
        <w:rPr>
          <w:b/>
        </w:rPr>
      </w:pPr>
      <w:r w:rsidRPr="00396D18">
        <w:rPr>
          <w:b/>
        </w:rPr>
        <w:t xml:space="preserve">Ремонт автомобильных дорог в с. </w:t>
      </w:r>
      <w:proofErr w:type="gramStart"/>
      <w:r w:rsidRPr="00396D18">
        <w:rPr>
          <w:b/>
        </w:rPr>
        <w:t>Предгорное</w:t>
      </w:r>
      <w:proofErr w:type="gramEnd"/>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9D1E84" w:rsidRDefault="00FE5D63" w:rsidP="009D1E84">
      <w:pPr>
        <w:jc w:val="both"/>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396D18" w:rsidRPr="00396D18">
        <w:t>Ремонт автомобильных дорог в с. Предгорное</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 быть выполнены в течени</w:t>
      </w:r>
      <w:proofErr w:type="gramStart"/>
      <w:r w:rsidRPr="00194743">
        <w:t>и</w:t>
      </w:r>
      <w:proofErr w:type="gramEnd"/>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w:t>
      </w:r>
      <w:proofErr w:type="spellStart"/>
      <w:r w:rsidR="008B0FDA" w:rsidRPr="008B0FDA">
        <w:t>Урупский</w:t>
      </w:r>
      <w:proofErr w:type="spellEnd"/>
      <w:r w:rsidR="008B0FDA" w:rsidRPr="008B0FDA">
        <w:t xml:space="preserve"> район, </w:t>
      </w:r>
      <w:r w:rsidR="00396D18" w:rsidRPr="00396D18">
        <w:t xml:space="preserve">с. </w:t>
      </w:r>
      <w:proofErr w:type="gramStart"/>
      <w:r w:rsidR="00396D18" w:rsidRPr="00396D18">
        <w:t>Предгорное</w:t>
      </w:r>
      <w:proofErr w:type="gramEnd"/>
    </w:p>
    <w:p w:rsidR="00DF7E5B" w:rsidRDefault="00DF7E5B" w:rsidP="00270C68">
      <w:pPr>
        <w:jc w:val="both"/>
      </w:pPr>
      <w:r>
        <w:t xml:space="preserve">         1.6. Идентификационный код закупки: </w:t>
      </w:r>
      <w:r w:rsidR="00396D18" w:rsidRPr="00396D18">
        <w:t>183091200056909120100100060074211000</w:t>
      </w:r>
    </w:p>
    <w:p w:rsidR="00396D18" w:rsidRDefault="00396D18"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lastRenderedPageBreak/>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w:t>
      </w:r>
      <w:r w:rsidRPr="00182F47">
        <w:lastRenderedPageBreak/>
        <w:t>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lastRenderedPageBreak/>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lastRenderedPageBreak/>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r w:rsidRPr="00A90028">
        <w:rPr>
          <w:rFonts w:eastAsia="Calibri"/>
          <w:lang w:eastAsia="en-US"/>
        </w:rPr>
        <w:t>.</w:t>
      </w:r>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t>9.2. Подрядчик</w:t>
      </w:r>
      <w:r w:rsidRPr="002D3EB4">
        <w:t xml:space="preserve"> предоставляет обеспечение исполнения </w:t>
      </w:r>
      <w:r>
        <w:t>к</w:t>
      </w:r>
      <w:r w:rsidRPr="002D3EB4">
        <w:t xml:space="preserve">онтракта в размере </w:t>
      </w:r>
      <w:r>
        <w:t>5</w:t>
      </w:r>
      <w:r w:rsidRPr="002D3EB4">
        <w:t xml:space="preserve">% от </w:t>
      </w:r>
      <w:r w:rsidRPr="002D3EB4">
        <w:lastRenderedPageBreak/>
        <w:t>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в </w:t>
      </w:r>
      <w:proofErr w:type="gramStart"/>
      <w:r w:rsidRPr="00873931">
        <w:rPr>
          <w:bCs/>
          <w:i/>
          <w:color w:val="000000"/>
        </w:rPr>
        <w:t>размере</w:t>
      </w:r>
      <w:proofErr w:type="gramEnd"/>
      <w:r w:rsidRPr="00873931">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Pr>
          <w:bCs/>
          <w:color w:val="000000"/>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sidR="00065B06">
        <w:rPr>
          <w:rFonts w:eastAsia="Gungsuh"/>
        </w:rPr>
        <w:t>30</w:t>
      </w:r>
      <w:r w:rsidRPr="00A90028">
        <w:rPr>
          <w:rFonts w:eastAsia="Gungsuh"/>
        </w:rPr>
        <w:t xml:space="preserve"> </w:t>
      </w:r>
      <w:r w:rsidR="00065B06">
        <w:rPr>
          <w:rFonts w:eastAsia="Gungsuh"/>
        </w:rPr>
        <w:t>сентября</w:t>
      </w:r>
      <w:r w:rsidRPr="00A90028">
        <w:rPr>
          <w:rFonts w:eastAsia="Gungsuh"/>
        </w:rPr>
        <w:t xml:space="preserve"> 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B1792E" w:rsidRDefault="00B1792E" w:rsidP="00270C68">
      <w:pPr>
        <w:tabs>
          <w:tab w:val="num" w:pos="0"/>
        </w:tabs>
        <w:ind w:firstLine="709"/>
        <w:jc w:val="both"/>
      </w:pPr>
    </w:p>
    <w:p w:rsidR="00DF7E5B" w:rsidRPr="00A90028" w:rsidRDefault="00DF7E5B"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lastRenderedPageBreak/>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DF7E5B" w:rsidRPr="00CD20C4" w:rsidRDefault="00DF7E5B" w:rsidP="00270C68">
            <w:pPr>
              <w:widowControl w:val="0"/>
              <w:autoSpaceDE w:val="0"/>
              <w:autoSpaceDN w:val="0"/>
              <w:adjustRightInd w:val="0"/>
              <w:jc w:val="both"/>
              <w:rPr>
                <w:b/>
              </w:rPr>
            </w:pP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B1792E" w:rsidRPr="00B1792E" w:rsidRDefault="00B1792E" w:rsidP="00B1792E">
      <w:pPr>
        <w:widowControl w:val="0"/>
        <w:shd w:val="clear" w:color="auto" w:fill="FFFFFF"/>
        <w:tabs>
          <w:tab w:val="left" w:pos="708"/>
        </w:tabs>
        <w:suppressAutoHyphens/>
        <w:spacing w:line="100" w:lineRule="atLeast"/>
        <w:rPr>
          <w:b/>
          <w:color w:val="000000"/>
          <w:sz w:val="26"/>
          <w:szCs w:val="26"/>
          <w:lang w:eastAsia="ar-SA"/>
        </w:rPr>
      </w:pPr>
      <w:r w:rsidRPr="00B1792E">
        <w:rPr>
          <w:b/>
          <w:color w:val="000000"/>
          <w:sz w:val="26"/>
          <w:szCs w:val="26"/>
          <w:lang w:eastAsia="ar-SA"/>
        </w:rPr>
        <w:t xml:space="preserve">Администрация </w:t>
      </w:r>
      <w:proofErr w:type="spellStart"/>
      <w:r w:rsidRPr="00B1792E">
        <w:rPr>
          <w:b/>
          <w:color w:val="000000"/>
          <w:sz w:val="26"/>
          <w:szCs w:val="26"/>
          <w:lang w:eastAsia="ar-SA"/>
        </w:rPr>
        <w:t>Урупского</w:t>
      </w:r>
      <w:proofErr w:type="spellEnd"/>
    </w:p>
    <w:p w:rsidR="00B1792E" w:rsidRPr="00B1792E" w:rsidRDefault="00B1792E" w:rsidP="00B1792E">
      <w:pPr>
        <w:widowControl w:val="0"/>
        <w:shd w:val="clear" w:color="auto" w:fill="FFFFFF"/>
        <w:tabs>
          <w:tab w:val="left" w:pos="708"/>
        </w:tabs>
        <w:suppressAutoHyphens/>
        <w:spacing w:line="100" w:lineRule="atLeast"/>
        <w:rPr>
          <w:b/>
          <w:color w:val="000000"/>
          <w:sz w:val="26"/>
          <w:szCs w:val="26"/>
          <w:lang w:eastAsia="ar-SA"/>
        </w:rPr>
      </w:pPr>
      <w:r w:rsidRPr="00B1792E">
        <w:rPr>
          <w:b/>
          <w:color w:val="000000"/>
          <w:sz w:val="26"/>
          <w:szCs w:val="26"/>
          <w:lang w:eastAsia="ar-SA"/>
        </w:rPr>
        <w:t xml:space="preserve"> муниципального района</w:t>
      </w:r>
    </w:p>
    <w:p w:rsidR="00B1792E" w:rsidRPr="00B1792E" w:rsidRDefault="00B1792E" w:rsidP="00B1792E">
      <w:pPr>
        <w:widowControl w:val="0"/>
        <w:shd w:val="clear" w:color="auto" w:fill="FFFFFF"/>
        <w:tabs>
          <w:tab w:val="left" w:pos="708"/>
        </w:tabs>
        <w:suppressAutoHyphens/>
        <w:spacing w:line="100" w:lineRule="atLeast"/>
        <w:rPr>
          <w:color w:val="000000"/>
          <w:sz w:val="26"/>
          <w:szCs w:val="26"/>
          <w:lang w:eastAsia="ar-SA"/>
        </w:rPr>
      </w:pPr>
      <w:r w:rsidRPr="00B1792E">
        <w:rPr>
          <w:b/>
          <w:color w:val="000000"/>
          <w:sz w:val="26"/>
          <w:szCs w:val="26"/>
          <w:lang w:eastAsia="ar-SA"/>
        </w:rPr>
        <w:t xml:space="preserve"> </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 xml:space="preserve">369260, Россия, Карачаево-Черкесская </w:t>
      </w:r>
    </w:p>
    <w:p w:rsidR="00B1792E" w:rsidRPr="00B1792E" w:rsidRDefault="00B1792E" w:rsidP="00B1792E">
      <w:pPr>
        <w:shd w:val="clear" w:color="auto" w:fill="FFFFFF"/>
        <w:suppressAutoHyphens/>
        <w:autoSpaceDE w:val="0"/>
        <w:rPr>
          <w:color w:val="000000"/>
          <w:sz w:val="26"/>
          <w:szCs w:val="26"/>
          <w:lang w:eastAsia="ar-SA"/>
        </w:rPr>
      </w:pPr>
      <w:proofErr w:type="spellStart"/>
      <w:r w:rsidRPr="00B1792E">
        <w:rPr>
          <w:color w:val="000000"/>
          <w:sz w:val="26"/>
          <w:szCs w:val="26"/>
          <w:lang w:eastAsia="ar-SA"/>
        </w:rPr>
        <w:t>Республика</w:t>
      </w:r>
      <w:proofErr w:type="gramStart"/>
      <w:r w:rsidRPr="00B1792E">
        <w:rPr>
          <w:color w:val="000000"/>
          <w:sz w:val="26"/>
          <w:szCs w:val="26"/>
          <w:lang w:eastAsia="ar-SA"/>
        </w:rPr>
        <w:t>,У</w:t>
      </w:r>
      <w:proofErr w:type="gramEnd"/>
      <w:r w:rsidRPr="00B1792E">
        <w:rPr>
          <w:color w:val="000000"/>
          <w:sz w:val="26"/>
          <w:szCs w:val="26"/>
          <w:lang w:eastAsia="ar-SA"/>
        </w:rPr>
        <w:t>рупский</w:t>
      </w:r>
      <w:proofErr w:type="spellEnd"/>
      <w:r w:rsidRPr="00B1792E">
        <w:rPr>
          <w:color w:val="000000"/>
          <w:sz w:val="26"/>
          <w:szCs w:val="26"/>
          <w:lang w:eastAsia="ar-SA"/>
        </w:rPr>
        <w:t xml:space="preserve"> район, ст. Преградная,</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ул. Советская,60</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ИНН 0912000569, КПП 091201001</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ОГРН 1060912000676</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Л/</w:t>
      </w:r>
      <w:proofErr w:type="spellStart"/>
      <w:r w:rsidRPr="00B1792E">
        <w:rPr>
          <w:color w:val="000000"/>
          <w:sz w:val="26"/>
          <w:szCs w:val="26"/>
          <w:lang w:eastAsia="ar-SA"/>
        </w:rPr>
        <w:t>сч</w:t>
      </w:r>
      <w:proofErr w:type="spellEnd"/>
      <w:r w:rsidRPr="00B1792E">
        <w:rPr>
          <w:color w:val="000000"/>
          <w:sz w:val="26"/>
          <w:szCs w:val="26"/>
          <w:lang w:eastAsia="ar-SA"/>
        </w:rPr>
        <w:t xml:space="preserve"> 03793002890 в УФК по КЧР 7909</w:t>
      </w:r>
    </w:p>
    <w:p w:rsidR="00B1792E" w:rsidRPr="00B1792E" w:rsidRDefault="00B1792E" w:rsidP="00B1792E">
      <w:pPr>
        <w:shd w:val="clear" w:color="auto" w:fill="FFFFFF"/>
        <w:suppressAutoHyphens/>
        <w:autoSpaceDE w:val="0"/>
        <w:rPr>
          <w:color w:val="000000"/>
          <w:sz w:val="26"/>
          <w:szCs w:val="26"/>
          <w:lang w:eastAsia="ar-SA"/>
        </w:rPr>
      </w:pPr>
      <w:proofErr w:type="gramStart"/>
      <w:r w:rsidRPr="00B1792E">
        <w:rPr>
          <w:color w:val="000000"/>
          <w:sz w:val="26"/>
          <w:szCs w:val="26"/>
          <w:lang w:eastAsia="ar-SA"/>
        </w:rPr>
        <w:t>Р</w:t>
      </w:r>
      <w:proofErr w:type="gramEnd"/>
      <w:r w:rsidRPr="00B1792E">
        <w:rPr>
          <w:color w:val="000000"/>
          <w:sz w:val="26"/>
          <w:szCs w:val="26"/>
          <w:lang w:eastAsia="ar-SA"/>
        </w:rPr>
        <w:t>/</w:t>
      </w:r>
      <w:proofErr w:type="spellStart"/>
      <w:r w:rsidRPr="00B1792E">
        <w:rPr>
          <w:color w:val="000000"/>
          <w:sz w:val="26"/>
          <w:szCs w:val="26"/>
          <w:lang w:eastAsia="ar-SA"/>
        </w:rPr>
        <w:t>сч</w:t>
      </w:r>
      <w:proofErr w:type="spellEnd"/>
      <w:r w:rsidRPr="00B1792E">
        <w:rPr>
          <w:color w:val="000000"/>
          <w:sz w:val="26"/>
          <w:szCs w:val="26"/>
          <w:lang w:eastAsia="ar-SA"/>
        </w:rPr>
        <w:t xml:space="preserve"> 40204810700000000121</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БИК 049133001</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Отделение-НБ Карачаево-Черкесская</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 xml:space="preserve"> Республика </w:t>
      </w:r>
      <w:proofErr w:type="spellStart"/>
      <w:r w:rsidRPr="00B1792E">
        <w:rPr>
          <w:color w:val="000000"/>
          <w:sz w:val="26"/>
          <w:szCs w:val="26"/>
          <w:lang w:eastAsia="ar-SA"/>
        </w:rPr>
        <w:t>г</w:t>
      </w:r>
      <w:proofErr w:type="gramStart"/>
      <w:r w:rsidRPr="00B1792E">
        <w:rPr>
          <w:color w:val="000000"/>
          <w:sz w:val="26"/>
          <w:szCs w:val="26"/>
          <w:lang w:eastAsia="ar-SA"/>
        </w:rPr>
        <w:t>.Ч</w:t>
      </w:r>
      <w:proofErr w:type="gramEnd"/>
      <w:r w:rsidRPr="00B1792E">
        <w:rPr>
          <w:color w:val="000000"/>
          <w:sz w:val="26"/>
          <w:szCs w:val="26"/>
          <w:lang w:eastAsia="ar-SA"/>
        </w:rPr>
        <w:t>еркесск</w:t>
      </w:r>
      <w:proofErr w:type="spellEnd"/>
      <w:r w:rsidRPr="00B1792E">
        <w:rPr>
          <w:color w:val="000000"/>
          <w:sz w:val="26"/>
          <w:szCs w:val="26"/>
          <w:lang w:eastAsia="ar-SA"/>
        </w:rPr>
        <w:t xml:space="preserve"> </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ОКПО 78431563; ОКОГУ 3300100</w:t>
      </w:r>
    </w:p>
    <w:p w:rsidR="00B1792E" w:rsidRPr="00B1792E" w:rsidRDefault="00B1792E" w:rsidP="00B1792E">
      <w:pPr>
        <w:shd w:val="clear" w:color="auto" w:fill="FFFFFF"/>
        <w:suppressAutoHyphens/>
        <w:autoSpaceDE w:val="0"/>
        <w:rPr>
          <w:color w:val="000000"/>
          <w:sz w:val="26"/>
          <w:szCs w:val="26"/>
          <w:lang w:eastAsia="ar-SA"/>
        </w:rPr>
      </w:pPr>
      <w:r w:rsidRPr="00B1792E">
        <w:rPr>
          <w:color w:val="000000"/>
          <w:sz w:val="26"/>
          <w:szCs w:val="26"/>
          <w:lang w:eastAsia="ar-SA"/>
        </w:rPr>
        <w:t>ОКАТО 91230000001; ОКТМО 91630425</w:t>
      </w:r>
    </w:p>
    <w:p w:rsidR="00B1792E" w:rsidRPr="00B1792E" w:rsidRDefault="00B1792E" w:rsidP="00B1792E">
      <w:pPr>
        <w:shd w:val="clear" w:color="auto" w:fill="FFFFFF"/>
        <w:suppressAutoHyphens/>
        <w:autoSpaceDE w:val="0"/>
        <w:rPr>
          <w:rFonts w:eastAsia="Calibri"/>
          <w:color w:val="000000"/>
          <w:sz w:val="26"/>
          <w:szCs w:val="26"/>
          <w:lang w:eastAsia="ar-SA"/>
        </w:rPr>
      </w:pPr>
      <w:r w:rsidRPr="00B1792E">
        <w:rPr>
          <w:color w:val="000000"/>
          <w:sz w:val="26"/>
          <w:szCs w:val="26"/>
          <w:lang w:eastAsia="ar-SA"/>
        </w:rPr>
        <w:t>ОКФС 14; ОКОПФ 75404</w:t>
      </w:r>
    </w:p>
    <w:p w:rsidR="00B1792E" w:rsidRPr="00B1792E" w:rsidRDefault="00B1792E" w:rsidP="00B1792E">
      <w:pPr>
        <w:widowControl w:val="0"/>
        <w:shd w:val="clear" w:color="auto" w:fill="FFFFFF"/>
        <w:tabs>
          <w:tab w:val="left" w:pos="708"/>
        </w:tabs>
        <w:suppressAutoHyphens/>
        <w:spacing w:line="100" w:lineRule="atLeast"/>
        <w:rPr>
          <w:rFonts w:eastAsia="Calibri"/>
          <w:color w:val="000000"/>
          <w:sz w:val="26"/>
          <w:szCs w:val="26"/>
          <w:lang w:eastAsia="ar-SA"/>
        </w:rPr>
      </w:pPr>
      <w:r w:rsidRPr="00B1792E">
        <w:rPr>
          <w:rFonts w:eastAsia="Calibri"/>
          <w:color w:val="000000"/>
          <w:sz w:val="26"/>
          <w:szCs w:val="26"/>
          <w:lang w:eastAsia="ar-SA"/>
        </w:rPr>
        <w:t>ОКВЭД 75.11.31</w:t>
      </w:r>
    </w:p>
    <w:p w:rsidR="00B1792E" w:rsidRPr="00B1792E" w:rsidRDefault="00B1792E" w:rsidP="00B1792E">
      <w:pPr>
        <w:widowControl w:val="0"/>
        <w:shd w:val="clear" w:color="auto" w:fill="FFFFFF"/>
        <w:tabs>
          <w:tab w:val="left" w:pos="708"/>
        </w:tabs>
        <w:suppressAutoHyphens/>
        <w:spacing w:line="100" w:lineRule="atLeast"/>
        <w:rPr>
          <w:color w:val="000000"/>
          <w:sz w:val="26"/>
          <w:szCs w:val="26"/>
          <w:lang w:eastAsia="ar-SA"/>
        </w:rPr>
      </w:pPr>
      <w:r w:rsidRPr="00B1792E">
        <w:rPr>
          <w:color w:val="000000"/>
          <w:sz w:val="26"/>
          <w:szCs w:val="26"/>
          <w:lang w:eastAsia="ar-SA"/>
        </w:rPr>
        <w:t xml:space="preserve">эл. адрес: </w:t>
      </w:r>
      <w:proofErr w:type="spellStart"/>
      <w:r w:rsidRPr="00B1792E">
        <w:rPr>
          <w:color w:val="000000"/>
          <w:sz w:val="26"/>
          <w:szCs w:val="26"/>
          <w:lang w:val="en-US" w:eastAsia="ar-SA"/>
        </w:rPr>
        <w:t>econimik</w:t>
      </w:r>
      <w:proofErr w:type="spellEnd"/>
      <w:r w:rsidRPr="00B1792E">
        <w:rPr>
          <w:color w:val="000000"/>
          <w:sz w:val="26"/>
          <w:szCs w:val="26"/>
          <w:lang w:eastAsia="ar-SA"/>
        </w:rPr>
        <w:t>_</w:t>
      </w:r>
      <w:proofErr w:type="spellStart"/>
      <w:r w:rsidRPr="00B1792E">
        <w:rPr>
          <w:color w:val="000000"/>
          <w:sz w:val="26"/>
          <w:szCs w:val="26"/>
          <w:lang w:val="en-US" w:eastAsia="ar-SA"/>
        </w:rPr>
        <w:t>urup</w:t>
      </w:r>
      <w:proofErr w:type="spellEnd"/>
      <w:r w:rsidRPr="00B1792E">
        <w:rPr>
          <w:color w:val="000000"/>
          <w:sz w:val="26"/>
          <w:szCs w:val="26"/>
          <w:lang w:eastAsia="ar-SA"/>
        </w:rPr>
        <w:t>@</w:t>
      </w:r>
      <w:r w:rsidRPr="00B1792E">
        <w:rPr>
          <w:color w:val="000000"/>
          <w:sz w:val="26"/>
          <w:szCs w:val="26"/>
          <w:lang w:val="en-US" w:eastAsia="ar-SA"/>
        </w:rPr>
        <w:t>mail</w:t>
      </w:r>
      <w:r w:rsidRPr="00B1792E">
        <w:rPr>
          <w:color w:val="000000"/>
          <w:sz w:val="26"/>
          <w:szCs w:val="26"/>
          <w:lang w:eastAsia="ar-SA"/>
        </w:rPr>
        <w:t>.</w:t>
      </w:r>
      <w:proofErr w:type="spellStart"/>
      <w:r w:rsidRPr="00B1792E">
        <w:rPr>
          <w:color w:val="000000"/>
          <w:sz w:val="26"/>
          <w:szCs w:val="26"/>
          <w:lang w:val="en-US" w:eastAsia="ar-SA"/>
        </w:rPr>
        <w:t>ru</w:t>
      </w:r>
      <w:proofErr w:type="spellEnd"/>
    </w:p>
    <w:p w:rsidR="00B1792E" w:rsidRPr="00B1792E" w:rsidRDefault="00B1792E" w:rsidP="00B1792E">
      <w:pPr>
        <w:widowControl w:val="0"/>
        <w:tabs>
          <w:tab w:val="left" w:pos="708"/>
        </w:tabs>
        <w:suppressAutoHyphens/>
        <w:spacing w:line="100" w:lineRule="atLeast"/>
        <w:rPr>
          <w:color w:val="000000"/>
          <w:sz w:val="26"/>
          <w:szCs w:val="26"/>
          <w:lang w:eastAsia="ar-SA"/>
        </w:rPr>
      </w:pPr>
      <w:r w:rsidRPr="00B1792E">
        <w:rPr>
          <w:color w:val="000000"/>
          <w:sz w:val="26"/>
          <w:szCs w:val="26"/>
          <w:lang w:eastAsia="ar-SA"/>
        </w:rPr>
        <w:t xml:space="preserve">Глава администрации </w:t>
      </w:r>
      <w:proofErr w:type="spellStart"/>
      <w:r w:rsidRPr="00B1792E">
        <w:rPr>
          <w:color w:val="000000"/>
          <w:sz w:val="26"/>
          <w:szCs w:val="26"/>
          <w:lang w:eastAsia="ar-SA"/>
        </w:rPr>
        <w:t>Урупского</w:t>
      </w:r>
      <w:proofErr w:type="spellEnd"/>
    </w:p>
    <w:p w:rsidR="00B1792E" w:rsidRPr="00B1792E" w:rsidRDefault="00B1792E" w:rsidP="00B1792E">
      <w:pPr>
        <w:widowControl w:val="0"/>
        <w:tabs>
          <w:tab w:val="left" w:pos="708"/>
        </w:tabs>
        <w:suppressAutoHyphens/>
        <w:spacing w:line="100" w:lineRule="atLeast"/>
        <w:rPr>
          <w:rFonts w:eastAsia="Calibri"/>
          <w:b/>
          <w:color w:val="000000"/>
          <w:sz w:val="26"/>
          <w:szCs w:val="26"/>
          <w:u w:val="single"/>
          <w:lang w:eastAsia="ar-SA"/>
        </w:rPr>
      </w:pPr>
      <w:r w:rsidRPr="00B1792E">
        <w:rPr>
          <w:color w:val="000000"/>
          <w:sz w:val="26"/>
          <w:szCs w:val="26"/>
          <w:lang w:eastAsia="ar-SA"/>
        </w:rPr>
        <w:t>муниципального района</w:t>
      </w:r>
    </w:p>
    <w:p w:rsidR="00DF7E5B" w:rsidRPr="00A90028" w:rsidRDefault="00B1792E" w:rsidP="00B1792E">
      <w:pPr>
        <w:jc w:val="both"/>
        <w:sectPr w:rsidR="00DF7E5B" w:rsidRPr="00A90028" w:rsidSect="00992A30">
          <w:pgSz w:w="11906" w:h="16838"/>
          <w:pgMar w:top="1134" w:right="567" w:bottom="851" w:left="1134" w:header="709" w:footer="709" w:gutter="0"/>
          <w:cols w:space="708"/>
          <w:titlePg/>
          <w:docGrid w:linePitch="360"/>
        </w:sectPr>
      </w:pPr>
      <w:r w:rsidRPr="00B1792E">
        <w:rPr>
          <w:rFonts w:eastAsia="Calibri"/>
          <w:color w:val="000000"/>
          <w:sz w:val="26"/>
          <w:szCs w:val="26"/>
          <w:u w:val="single"/>
          <w:lang w:eastAsia="ar-SA"/>
        </w:rPr>
        <w:t xml:space="preserve">                                 </w:t>
      </w:r>
      <w:r w:rsidRPr="00B1792E">
        <w:rPr>
          <w:rFonts w:eastAsia="Calibri"/>
          <w:color w:val="000000"/>
          <w:sz w:val="26"/>
          <w:szCs w:val="26"/>
          <w:lang w:eastAsia="ar-SA"/>
        </w:rPr>
        <w:t xml:space="preserve">  </w:t>
      </w:r>
      <w:proofErr w:type="spellStart"/>
      <w:r w:rsidRPr="00B1792E">
        <w:rPr>
          <w:rFonts w:eastAsia="Calibri"/>
          <w:color w:val="000000"/>
          <w:sz w:val="26"/>
          <w:szCs w:val="26"/>
          <w:lang w:eastAsia="ar-SA"/>
        </w:rPr>
        <w:t>А.П.Шутов</w:t>
      </w:r>
      <w:bookmarkStart w:id="94" w:name="_GoBack"/>
      <w:bookmarkEnd w:id="94"/>
      <w:proofErr w:type="spellEnd"/>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9F" w:rsidRDefault="0016219F" w:rsidP="000501AF">
      <w:r>
        <w:separator/>
      </w:r>
    </w:p>
  </w:endnote>
  <w:endnote w:type="continuationSeparator" w:id="0">
    <w:p w:rsidR="0016219F" w:rsidRDefault="0016219F"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1B61" w:rsidRDefault="004F1B61"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792E">
      <w:rPr>
        <w:rStyle w:val="a7"/>
      </w:rPr>
      <w:t>22</w:t>
    </w:r>
    <w:r>
      <w:rPr>
        <w:rStyle w:val="a7"/>
      </w:rPr>
      <w:fldChar w:fldCharType="end"/>
    </w:r>
  </w:p>
  <w:p w:rsidR="004F1B61" w:rsidRDefault="004F1B61"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4F1B61" w:rsidRDefault="004F1B61"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B1792E">
      <w:rPr>
        <w:rStyle w:val="a7"/>
      </w:rPr>
      <w:t>23</w:t>
    </w:r>
    <w:r>
      <w:rPr>
        <w:rStyle w:val="a7"/>
      </w:rPr>
      <w:fldChar w:fldCharType="end"/>
    </w:r>
  </w:p>
  <w:p w:rsidR="004F1B61" w:rsidRDefault="004F1B61"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1B61" w:rsidRDefault="004F1B61"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61" w:rsidRDefault="004F1B6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792E">
      <w:rPr>
        <w:rStyle w:val="a7"/>
      </w:rPr>
      <w:t>48</w:t>
    </w:r>
    <w:r>
      <w:rPr>
        <w:rStyle w:val="a7"/>
      </w:rPr>
      <w:fldChar w:fldCharType="end"/>
    </w:r>
  </w:p>
  <w:p w:rsidR="004F1B61" w:rsidRDefault="004F1B61"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9F" w:rsidRDefault="0016219F" w:rsidP="000501AF">
      <w:r>
        <w:separator/>
      </w:r>
    </w:p>
  </w:footnote>
  <w:footnote w:type="continuationSeparator" w:id="0">
    <w:p w:rsidR="0016219F" w:rsidRDefault="0016219F" w:rsidP="000501AF">
      <w:r>
        <w:continuationSeparator/>
      </w:r>
    </w:p>
  </w:footnote>
  <w:footnote w:id="1">
    <w:p w:rsidR="004F1B61" w:rsidRPr="00B83118" w:rsidRDefault="004F1B61"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4F1B61" w:rsidRDefault="004F1B61"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065B06"/>
    <w:rsid w:val="00122B9F"/>
    <w:rsid w:val="00141BDE"/>
    <w:rsid w:val="00157843"/>
    <w:rsid w:val="0016219F"/>
    <w:rsid w:val="001A1220"/>
    <w:rsid w:val="001B0FA9"/>
    <w:rsid w:val="001C6863"/>
    <w:rsid w:val="002314F3"/>
    <w:rsid w:val="00270C68"/>
    <w:rsid w:val="00280029"/>
    <w:rsid w:val="002C4A6A"/>
    <w:rsid w:val="003059CE"/>
    <w:rsid w:val="00360725"/>
    <w:rsid w:val="0039388E"/>
    <w:rsid w:val="00396D18"/>
    <w:rsid w:val="003B3A34"/>
    <w:rsid w:val="003F7B39"/>
    <w:rsid w:val="004601C4"/>
    <w:rsid w:val="00481881"/>
    <w:rsid w:val="0049620F"/>
    <w:rsid w:val="004C3214"/>
    <w:rsid w:val="004E3411"/>
    <w:rsid w:val="004F1B61"/>
    <w:rsid w:val="00552644"/>
    <w:rsid w:val="00587EC0"/>
    <w:rsid w:val="005D3A69"/>
    <w:rsid w:val="005D63B8"/>
    <w:rsid w:val="005E2D2B"/>
    <w:rsid w:val="005F1C67"/>
    <w:rsid w:val="006640A1"/>
    <w:rsid w:val="00676C50"/>
    <w:rsid w:val="00772ECA"/>
    <w:rsid w:val="007F76BC"/>
    <w:rsid w:val="008B0FDA"/>
    <w:rsid w:val="00916F2C"/>
    <w:rsid w:val="00992A30"/>
    <w:rsid w:val="009C5205"/>
    <w:rsid w:val="009D1E84"/>
    <w:rsid w:val="00A40659"/>
    <w:rsid w:val="00AE4FFD"/>
    <w:rsid w:val="00B1792E"/>
    <w:rsid w:val="00B3341D"/>
    <w:rsid w:val="00B5166D"/>
    <w:rsid w:val="00BD32C6"/>
    <w:rsid w:val="00BF1472"/>
    <w:rsid w:val="00C14E4B"/>
    <w:rsid w:val="00DB0741"/>
    <w:rsid w:val="00DF7E5B"/>
    <w:rsid w:val="00E05167"/>
    <w:rsid w:val="00E05F72"/>
    <w:rsid w:val="00E57D35"/>
    <w:rsid w:val="00E6147B"/>
    <w:rsid w:val="00E65BAD"/>
    <w:rsid w:val="00EA2AA5"/>
    <w:rsid w:val="00EA713B"/>
    <w:rsid w:val="00EB07E3"/>
    <w:rsid w:val="00EC5DA7"/>
    <w:rsid w:val="00F24301"/>
    <w:rsid w:val="00F978A9"/>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39">
      <w:bodyDiv w:val="1"/>
      <w:marLeft w:val="0"/>
      <w:marRight w:val="0"/>
      <w:marTop w:val="0"/>
      <w:marBottom w:val="0"/>
      <w:divBdr>
        <w:top w:val="none" w:sz="0" w:space="0" w:color="auto"/>
        <w:left w:val="none" w:sz="0" w:space="0" w:color="auto"/>
        <w:bottom w:val="none" w:sz="0" w:space="0" w:color="auto"/>
        <w:right w:val="none" w:sz="0" w:space="0" w:color="auto"/>
      </w:divBdr>
    </w:div>
    <w:div w:id="1264072191">
      <w:bodyDiv w:val="1"/>
      <w:marLeft w:val="0"/>
      <w:marRight w:val="0"/>
      <w:marTop w:val="0"/>
      <w:marBottom w:val="0"/>
      <w:divBdr>
        <w:top w:val="none" w:sz="0" w:space="0" w:color="auto"/>
        <w:left w:val="none" w:sz="0" w:space="0" w:color="auto"/>
        <w:bottom w:val="none" w:sz="0" w:space="0" w:color="auto"/>
        <w:right w:val="none" w:sz="0" w:space="0" w:color="auto"/>
      </w:divBdr>
    </w:div>
    <w:div w:id="1571695901">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765488464">
      <w:bodyDiv w:val="1"/>
      <w:marLeft w:val="0"/>
      <w:marRight w:val="0"/>
      <w:marTop w:val="0"/>
      <w:marBottom w:val="0"/>
      <w:divBdr>
        <w:top w:val="none" w:sz="0" w:space="0" w:color="auto"/>
        <w:left w:val="none" w:sz="0" w:space="0" w:color="auto"/>
        <w:bottom w:val="none" w:sz="0" w:space="0" w:color="auto"/>
        <w:right w:val="none" w:sz="0" w:space="0" w:color="auto"/>
      </w:divBdr>
    </w:div>
    <w:div w:id="1926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fontTable" Target="fontTable.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28218</Words>
  <Characters>160848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2</cp:revision>
  <cp:lastPrinted>2018-07-17T10:51:00Z</cp:lastPrinted>
  <dcterms:created xsi:type="dcterms:W3CDTF">2018-07-26T12:53:00Z</dcterms:created>
  <dcterms:modified xsi:type="dcterms:W3CDTF">2018-07-26T12:53:00Z</dcterms:modified>
</cp:coreProperties>
</file>