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4064">
      <w:pPr>
        <w:spacing w:line="360" w:lineRule="auto"/>
        <w:jc w:val="right"/>
        <w:rPr>
          <w:sz w:val="28"/>
          <w:szCs w:val="28"/>
        </w:rPr>
      </w:pPr>
    </w:p>
    <w:p w:rsidR="00000000" w:rsidRDefault="00854064">
      <w:pPr>
        <w:spacing w:line="360" w:lineRule="auto"/>
        <w:jc w:val="center"/>
      </w:pPr>
      <w:r>
        <w:rPr>
          <w:sz w:val="28"/>
          <w:szCs w:val="28"/>
        </w:rPr>
        <w:t>РОССИЙСКАЯ ФЕДЕРАЦИЯ</w:t>
      </w:r>
    </w:p>
    <w:p w:rsidR="00000000" w:rsidRDefault="00854064">
      <w:pPr>
        <w:spacing w:line="360" w:lineRule="auto"/>
        <w:jc w:val="center"/>
      </w:pPr>
      <w:r>
        <w:rPr>
          <w:sz w:val="28"/>
          <w:szCs w:val="28"/>
        </w:rPr>
        <w:t>КАРАЧАЕВО-ЧЕРКЕССКАЯ  РЕСПУБЛИКА</w:t>
      </w:r>
    </w:p>
    <w:p w:rsidR="00000000" w:rsidRDefault="00854064">
      <w:pPr>
        <w:jc w:val="center"/>
      </w:pP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854064">
      <w:pPr>
        <w:spacing w:line="360" w:lineRule="auto"/>
        <w:jc w:val="center"/>
        <w:rPr>
          <w:sz w:val="16"/>
          <w:szCs w:val="16"/>
        </w:rPr>
      </w:pPr>
    </w:p>
    <w:p w:rsidR="00000000" w:rsidRDefault="00854064">
      <w:pPr>
        <w:spacing w:line="360" w:lineRule="auto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</w:t>
      </w:r>
    </w:p>
    <w:p w:rsidR="00000000" w:rsidRDefault="00854064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269"/>
        <w:gridCol w:w="1842"/>
      </w:tblGrid>
      <w:tr w:rsidR="00000000">
        <w:trPr>
          <w:trHeight w:val="124"/>
        </w:trPr>
        <w:tc>
          <w:tcPr>
            <w:tcW w:w="3165" w:type="dxa"/>
            <w:shd w:val="clear" w:color="auto" w:fill="auto"/>
          </w:tcPr>
          <w:p w:rsidR="00000000" w:rsidRDefault="00854064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17.04.2018</w:t>
            </w:r>
          </w:p>
        </w:tc>
        <w:tc>
          <w:tcPr>
            <w:tcW w:w="5269" w:type="dxa"/>
            <w:shd w:val="clear" w:color="auto" w:fill="auto"/>
          </w:tcPr>
          <w:p w:rsidR="00000000" w:rsidRDefault="00854064"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842" w:type="dxa"/>
            <w:shd w:val="clear" w:color="auto" w:fill="auto"/>
          </w:tcPr>
          <w:p w:rsidR="00000000" w:rsidRDefault="00854064">
            <w:r>
              <w:rPr>
                <w:sz w:val="28"/>
                <w:szCs w:val="28"/>
              </w:rPr>
              <w:t xml:space="preserve">       № </w:t>
            </w:r>
            <w:r>
              <w:rPr>
                <w:sz w:val="28"/>
                <w:szCs w:val="28"/>
              </w:rPr>
              <w:t>145</w:t>
            </w:r>
          </w:p>
        </w:tc>
      </w:tr>
    </w:tbl>
    <w:p w:rsidR="00000000" w:rsidRDefault="00854064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0" w:lineRule="atLeast"/>
        <w:contextualSpacing/>
      </w:pPr>
    </w:p>
    <w:p w:rsidR="00000000" w:rsidRDefault="00854064">
      <w:pPr>
        <w:pStyle w:val="aa"/>
      </w:pPr>
      <w:r>
        <w:rPr>
          <w:color w:val="000000"/>
          <w:szCs w:val="28"/>
        </w:rPr>
        <w:t xml:space="preserve">Об утверждении </w:t>
      </w:r>
      <w:r>
        <w:rPr>
          <w:color w:val="000000"/>
          <w:szCs w:val="28"/>
        </w:rPr>
        <w:t xml:space="preserve"> </w:t>
      </w:r>
      <w:r w:rsidR="00566253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оложения </w:t>
      </w:r>
      <w:r>
        <w:t xml:space="preserve"> о комиссии по установлению (исчислению) ст</w:t>
      </w:r>
      <w:r>
        <w:t>ажа м</w:t>
      </w:r>
      <w:r>
        <w:t>у</w:t>
      </w:r>
      <w:r>
        <w:t>ниципальной службы  для начисления надбавок к должностному окладу за в</w:t>
      </w:r>
      <w:r>
        <w:t>ы</w:t>
      </w:r>
      <w:r>
        <w:t xml:space="preserve">слугу лет муниципальным служащим администрации Урупского муниципального района </w:t>
      </w:r>
    </w:p>
    <w:p w:rsidR="00000000" w:rsidRDefault="00854064">
      <w:pPr>
        <w:pStyle w:val="aa"/>
      </w:pPr>
      <w:r>
        <w:tab/>
      </w:r>
    </w:p>
    <w:p w:rsidR="00000000" w:rsidRDefault="00854064">
      <w:pPr>
        <w:pStyle w:val="aa"/>
        <w:contextualSpacing/>
      </w:pP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 xml:space="preserve">В соответствии с </w:t>
      </w:r>
      <w:r>
        <w:t>Федеральными законами от 6 октября 2003 года № 131- ФЗ «Об общих принципах орга</w:t>
      </w:r>
      <w:r>
        <w:t>низации местного самоуправления в Российской Фед</w:t>
      </w:r>
      <w:r>
        <w:t>е</w:t>
      </w:r>
      <w:r>
        <w:t>рации»,</w:t>
      </w:r>
      <w:r>
        <w:rPr>
          <w:color w:val="000000"/>
          <w:szCs w:val="28"/>
        </w:rPr>
        <w:t xml:space="preserve"> от 02 марта 2007 года № 25-ФЗ «О муниципальной службе в Российской федерации», Законом Карачаево-Черкесской Республики от 15.11.2007 № 75-РЗ «О некоторых вопросах муниципальной службы в Карачаево-Чер</w:t>
      </w:r>
      <w:r>
        <w:rPr>
          <w:color w:val="000000"/>
          <w:szCs w:val="28"/>
        </w:rPr>
        <w:t xml:space="preserve">кесской Республике» </w:t>
      </w:r>
      <w:r w:rsidR="00566253">
        <w:rPr>
          <w:color w:val="000000"/>
          <w:szCs w:val="28"/>
        </w:rPr>
        <w:t>(</w:t>
      </w:r>
      <w:r>
        <w:rPr>
          <w:color w:val="000000"/>
          <w:szCs w:val="28"/>
        </w:rPr>
        <w:t>в редакции № 6 от 08.12.2017</w:t>
      </w:r>
      <w:r w:rsidR="00566253">
        <w:rPr>
          <w:color w:val="000000"/>
          <w:szCs w:val="28"/>
        </w:rPr>
        <w:t>)</w:t>
      </w:r>
      <w:r>
        <w:rPr>
          <w:color w:val="000000"/>
          <w:szCs w:val="28"/>
        </w:rPr>
        <w:t>, Законом Карачаево-Черкесской Республики 08.12.2017 № 79- РЗ «О внесении</w:t>
      </w:r>
      <w:proofErr w:type="gramEnd"/>
      <w:r>
        <w:rPr>
          <w:color w:val="000000"/>
          <w:szCs w:val="28"/>
        </w:rPr>
        <w:t xml:space="preserve"> изменений в Закон Карачаево-Черкесской Ре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публики «О некоторых вопросах муниципальной службы в Карачаево-Черкесской Республике», Устав</w:t>
      </w:r>
      <w:r>
        <w:rPr>
          <w:color w:val="000000"/>
          <w:szCs w:val="28"/>
        </w:rPr>
        <w:t xml:space="preserve">ом </w:t>
      </w:r>
      <w:r w:rsidR="00566253">
        <w:rPr>
          <w:color w:val="000000"/>
          <w:szCs w:val="28"/>
        </w:rPr>
        <w:t>Урупского муниципального района,</w:t>
      </w:r>
    </w:p>
    <w:p w:rsidR="00000000" w:rsidRDefault="00854064">
      <w:pPr>
        <w:pStyle w:val="aa"/>
        <w:contextualSpacing/>
        <w:rPr>
          <w:color w:val="000000"/>
          <w:szCs w:val="28"/>
        </w:rPr>
      </w:pPr>
    </w:p>
    <w:p w:rsidR="00000000" w:rsidRDefault="008540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0" w:lineRule="atLeast"/>
        <w:contextualSpacing/>
        <w:jc w:val="both"/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000000" w:rsidRDefault="008540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0" w:lineRule="atLeast"/>
        <w:contextualSpacing/>
        <w:jc w:val="both"/>
        <w:rPr>
          <w:color w:val="000000"/>
          <w:sz w:val="28"/>
          <w:szCs w:val="28"/>
        </w:rPr>
      </w:pPr>
    </w:p>
    <w:p w:rsidR="00000000" w:rsidRDefault="008540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0" w:lineRule="atLeast"/>
        <w:contextualSpacing/>
        <w:jc w:val="both"/>
      </w:pPr>
      <w:r>
        <w:rPr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>Утвердить Положение о комиссии по установлению (исчислению) стажа муниципальной службы  для начисления надбавок к должностному окладу за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слугу лет  муниципальным служащим администрации Уру</w:t>
      </w:r>
      <w:r>
        <w:rPr>
          <w:color w:val="000000"/>
          <w:sz w:val="28"/>
          <w:szCs w:val="28"/>
        </w:rPr>
        <w:t>пского муниципального района (далее</w:t>
      </w:r>
      <w:r w:rsidR="005662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Комиссия) согласно приложению 1.</w:t>
      </w:r>
    </w:p>
    <w:p w:rsidR="00000000" w:rsidRDefault="008540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0" w:lineRule="atLeast"/>
        <w:contextualSpacing/>
        <w:jc w:val="both"/>
      </w:pPr>
      <w:r>
        <w:rPr>
          <w:color w:val="000000"/>
          <w:sz w:val="28"/>
          <w:szCs w:val="28"/>
        </w:rPr>
        <w:tab/>
        <w:t>2. Утвердить состав комиссии по установлению (исчислению) стажа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ципальной службы  для начисления надбавок к должностному окладу за выслугу лет  муниципальным служащим администрации </w:t>
      </w:r>
      <w:r>
        <w:rPr>
          <w:color w:val="000000"/>
          <w:sz w:val="28"/>
          <w:szCs w:val="28"/>
        </w:rPr>
        <w:t>Урупского муниципального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 согласно приложению 2.</w:t>
      </w:r>
    </w:p>
    <w:p w:rsidR="00000000" w:rsidRDefault="008540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0" w:lineRule="atLeast"/>
        <w:contextualSpacing/>
        <w:jc w:val="both"/>
      </w:pPr>
      <w:r>
        <w:rPr>
          <w:color w:val="000000"/>
          <w:sz w:val="28"/>
          <w:szCs w:val="28"/>
        </w:rPr>
        <w:tab/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со дня его официального опу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ликования (обнародования) в установленном порядке .</w:t>
      </w:r>
    </w:p>
    <w:p w:rsidR="00000000" w:rsidRDefault="008540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0" w:lineRule="atLeast"/>
        <w:contextualSpacing/>
        <w:jc w:val="both"/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заместителя главы адми</w:t>
      </w:r>
      <w:r>
        <w:rPr>
          <w:color w:val="000000"/>
          <w:sz w:val="28"/>
          <w:szCs w:val="28"/>
        </w:rPr>
        <w:t xml:space="preserve">нистрации Урупского муниципального района </w:t>
      </w:r>
      <w:r w:rsidR="00566253">
        <w:rPr>
          <w:color w:val="000000"/>
          <w:sz w:val="28"/>
          <w:szCs w:val="28"/>
        </w:rPr>
        <w:t xml:space="preserve">С.К. </w:t>
      </w:r>
      <w:proofErr w:type="spellStart"/>
      <w:r w:rsidR="00566253">
        <w:rPr>
          <w:color w:val="000000"/>
          <w:sz w:val="28"/>
          <w:szCs w:val="28"/>
        </w:rPr>
        <w:t>Аджиева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00000" w:rsidRDefault="00854064">
      <w:pPr>
        <w:pStyle w:val="1"/>
        <w:ind w:left="0"/>
      </w:pPr>
    </w:p>
    <w:p w:rsidR="00000000" w:rsidRDefault="00854064">
      <w:pPr>
        <w:pStyle w:val="1"/>
        <w:ind w:left="0"/>
      </w:pPr>
    </w:p>
    <w:p w:rsidR="00000000" w:rsidRDefault="00854064">
      <w:pPr>
        <w:pStyle w:val="1"/>
        <w:ind w:left="0"/>
      </w:pPr>
      <w:r>
        <w:t xml:space="preserve">Глава администрации </w:t>
      </w:r>
    </w:p>
    <w:p w:rsidR="00000000" w:rsidRDefault="00854064">
      <w:pPr>
        <w:pStyle w:val="1"/>
        <w:ind w:left="0"/>
      </w:pPr>
      <w:r>
        <w:t>Урупского муниципального района                                                      А.П. Шутов</w:t>
      </w:r>
    </w:p>
    <w:p w:rsidR="00000000" w:rsidRDefault="00854064">
      <w:pPr>
        <w:tabs>
          <w:tab w:val="left" w:pos="567"/>
        </w:tabs>
        <w:rPr>
          <w:sz w:val="24"/>
          <w:szCs w:val="24"/>
        </w:rPr>
      </w:pPr>
    </w:p>
    <w:p w:rsidR="00000000" w:rsidRDefault="00854064">
      <w:pPr>
        <w:tabs>
          <w:tab w:val="left" w:pos="567"/>
        </w:tabs>
        <w:rPr>
          <w:sz w:val="24"/>
          <w:szCs w:val="24"/>
        </w:rPr>
      </w:pPr>
    </w:p>
    <w:p w:rsidR="00000000" w:rsidRDefault="00854064">
      <w:pPr>
        <w:tabs>
          <w:tab w:val="left" w:pos="567"/>
        </w:tabs>
        <w:rPr>
          <w:sz w:val="24"/>
          <w:szCs w:val="24"/>
        </w:rPr>
      </w:pPr>
    </w:p>
    <w:p w:rsidR="00000000" w:rsidRDefault="00854064">
      <w:pPr>
        <w:tabs>
          <w:tab w:val="left" w:pos="567"/>
        </w:tabs>
        <w:rPr>
          <w:sz w:val="24"/>
          <w:szCs w:val="24"/>
        </w:rPr>
      </w:pPr>
    </w:p>
    <w:p w:rsidR="00000000" w:rsidRDefault="00854064">
      <w:pPr>
        <w:tabs>
          <w:tab w:val="left" w:pos="567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748"/>
      </w:tblGrid>
      <w:tr w:rsidR="00000000">
        <w:tc>
          <w:tcPr>
            <w:tcW w:w="4503" w:type="dxa"/>
            <w:shd w:val="clear" w:color="auto" w:fill="auto"/>
          </w:tcPr>
          <w:p w:rsidR="00000000" w:rsidRDefault="00854064">
            <w:pPr>
              <w:snapToGrid w:val="0"/>
            </w:pPr>
          </w:p>
        </w:tc>
        <w:tc>
          <w:tcPr>
            <w:tcW w:w="5748" w:type="dxa"/>
            <w:shd w:val="clear" w:color="auto" w:fill="auto"/>
          </w:tcPr>
          <w:p w:rsidR="00000000" w:rsidRDefault="0085406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000000" w:rsidRDefault="0085406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Урупского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района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17.04.2018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0000" w:rsidRDefault="008540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  <w:tab w:val="center" w:pos="4153"/>
          <w:tab w:val="right" w:pos="8306"/>
        </w:tabs>
        <w:spacing w:after="283" w:line="270" w:lineRule="atLeast"/>
        <w:jc w:val="center"/>
      </w:pPr>
    </w:p>
    <w:p w:rsidR="00000000" w:rsidRDefault="00854064">
      <w:pPr>
        <w:pStyle w:val="aa"/>
        <w:jc w:val="center"/>
      </w:pPr>
      <w:r>
        <w:rPr>
          <w:szCs w:val="28"/>
        </w:rPr>
        <w:t xml:space="preserve">ПОЛОЖЕНИЕ </w:t>
      </w:r>
    </w:p>
    <w:p w:rsidR="00000000" w:rsidRDefault="00854064">
      <w:r>
        <w:rPr>
          <w:sz w:val="28"/>
          <w:szCs w:val="28"/>
        </w:rPr>
        <w:t xml:space="preserve">о комиссии по установлению (исчислению) стажа муниципальной службы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000000" w:rsidRDefault="00854064">
      <w:r>
        <w:rPr>
          <w:sz w:val="28"/>
          <w:szCs w:val="28"/>
        </w:rPr>
        <w:t xml:space="preserve">начисления надбавок к должностному окладу за выслугу лет 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000000" w:rsidRDefault="00854064">
      <w:pPr>
        <w:jc w:val="center"/>
      </w:pPr>
      <w:r>
        <w:rPr>
          <w:sz w:val="28"/>
          <w:szCs w:val="28"/>
        </w:rPr>
        <w:t xml:space="preserve">служащим администрации Урупского муниципального района </w:t>
      </w:r>
    </w:p>
    <w:p w:rsidR="00000000" w:rsidRDefault="00854064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0" w:lineRule="atLeast"/>
        <w:contextualSpacing/>
      </w:pPr>
      <w:r>
        <w:rPr>
          <w:color w:val="000000"/>
          <w:szCs w:val="28"/>
        </w:rPr>
        <w:tab/>
      </w:r>
    </w:p>
    <w:p w:rsidR="00000000" w:rsidRDefault="008540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0" w:lineRule="atLeast"/>
        <w:contextualSpacing/>
        <w:jc w:val="both"/>
      </w:pPr>
    </w:p>
    <w:p w:rsidR="00000000" w:rsidRDefault="00854064">
      <w:pPr>
        <w:pStyle w:val="aa"/>
        <w:jc w:val="center"/>
      </w:pPr>
      <w:r>
        <w:t xml:space="preserve">1. Общие положения </w:t>
      </w:r>
    </w:p>
    <w:p w:rsidR="00000000" w:rsidRDefault="00854064">
      <w:pPr>
        <w:pStyle w:val="aa"/>
      </w:pPr>
      <w:r>
        <w:tab/>
      </w:r>
    </w:p>
    <w:p w:rsidR="00000000" w:rsidRDefault="00854064">
      <w:pPr>
        <w:pStyle w:val="aa"/>
      </w:pPr>
      <w:r>
        <w:tab/>
        <w:t>1.Настоящее Положение определяет порядок работы Комиссии по устано</w:t>
      </w:r>
      <w:r>
        <w:t>в</w:t>
      </w:r>
      <w:r>
        <w:t>лению (исчислению) стажа муниципальной службы и применяется для установл</w:t>
      </w:r>
      <w:r>
        <w:t>е</w:t>
      </w:r>
      <w:r>
        <w:t>ния (исчисления) стажа муниципальным служащим администрации, начисления надбавки к должно</w:t>
      </w:r>
      <w:r>
        <w:t>стному окладу за выслугу лет на муниципальной службе и определения продолжительности ежегодного дополнительного оплачиваемого о</w:t>
      </w:r>
      <w:r>
        <w:t>т</w:t>
      </w:r>
      <w:r>
        <w:t xml:space="preserve">пуска за выслугу лет, предоставляемого муниципальным служащим. </w:t>
      </w:r>
    </w:p>
    <w:p w:rsidR="00000000" w:rsidRDefault="00854064">
      <w:pPr>
        <w:pStyle w:val="aa"/>
      </w:pPr>
      <w:r>
        <w:tab/>
      </w:r>
      <w:r>
        <w:t>1.2. Комиссия является постоянно действующим коллегиальным орга</w:t>
      </w:r>
      <w:r>
        <w:t>ном.</w:t>
      </w:r>
    </w:p>
    <w:p w:rsidR="00000000" w:rsidRDefault="00854064">
      <w:pPr>
        <w:pStyle w:val="aa"/>
      </w:pPr>
      <w:r>
        <w:tab/>
        <w:t xml:space="preserve">1.3. </w:t>
      </w:r>
      <w:proofErr w:type="gramStart"/>
      <w:r>
        <w:t>В своей работе Комиссия руководствуется </w:t>
      </w:r>
      <w:hyperlink r:id="rId5" w:history="1">
        <w:r>
          <w:rPr>
            <w:rStyle w:val="a4"/>
            <w:color w:val="auto"/>
            <w:u w:val="none"/>
          </w:rPr>
          <w:t>Конституцией Российской Федерации</w:t>
        </w:r>
      </w:hyperlink>
      <w:r>
        <w:t>, Федеральными законами от 6 октября 2003 года № 131- ФЗ «Об общих принципах организации</w:t>
      </w:r>
      <w:r>
        <w:t xml:space="preserve"> местного самоуправления в Российской Федерации», от 02 марта 2007 года № 25-ФЗ «О муниципальной службе в Российской федерации»,  Законом Карачаево-Черкесской Республики от 15.11.2007 № 75-РЗ «О некоторых вопросах муниципальной службы в Карачаево-Черкесско</w:t>
      </w:r>
      <w:r>
        <w:t>й Республике» в редакции № 6 от 08.12.2017, Законом Карачаево-Черкесской Республики</w:t>
      </w:r>
      <w:proofErr w:type="gramEnd"/>
      <w:r>
        <w:t xml:space="preserve"> 08.12.2017 № 79- РЗ «О внесении изменений в Закон Карачаево-Черкесской Республики «О некоторых вопросах муниципальной службы в Карачаево-Черкесской Республике».</w:t>
      </w:r>
    </w:p>
    <w:p w:rsidR="00000000" w:rsidRDefault="00854064">
      <w:pPr>
        <w:pStyle w:val="aa"/>
      </w:pPr>
      <w:r>
        <w:tab/>
        <w:t>1.4. Комис</w:t>
      </w:r>
      <w:r>
        <w:t>сия состоит из председателя, заместителя председателя, секретаря и других членов. Состав комиссии утверждается нормативно-правовым актом а</w:t>
      </w:r>
      <w:r>
        <w:t>д</w:t>
      </w:r>
      <w:r>
        <w:t>министрации Урупского муниципального района.</w:t>
      </w:r>
    </w:p>
    <w:p w:rsidR="00000000" w:rsidRDefault="00854064">
      <w:pPr>
        <w:pStyle w:val="aa"/>
      </w:pPr>
      <w:r>
        <w:tab/>
        <w:t>1.5. Основной формой работы Комиссии является заседание.</w:t>
      </w:r>
    </w:p>
    <w:p w:rsidR="00000000" w:rsidRDefault="00854064">
      <w:pPr>
        <w:pStyle w:val="aa"/>
      </w:pPr>
      <w:r>
        <w:tab/>
        <w:t>1.6. Заседани</w:t>
      </w:r>
      <w:r>
        <w:t>я Комиссии созываются по мере необходимости.</w:t>
      </w:r>
    </w:p>
    <w:p w:rsidR="00000000" w:rsidRDefault="00854064">
      <w:pPr>
        <w:pStyle w:val="aa"/>
      </w:pPr>
      <w:r>
        <w:tab/>
        <w:t>1.7. Заседание Комиссии считается правомочным, если на нем присутствует не менее 2/3 от общего числа ее членов.</w:t>
      </w:r>
    </w:p>
    <w:p w:rsidR="00000000" w:rsidRDefault="00854064">
      <w:pPr>
        <w:pStyle w:val="aa"/>
      </w:pPr>
      <w:r>
        <w:tab/>
        <w:t xml:space="preserve">1.8. Решение Комиссии оформляется </w:t>
      </w:r>
      <w:hyperlink r:id="rId6" w:history="1">
        <w:r>
          <w:rPr>
            <w:rStyle w:val="a4"/>
            <w:color w:val="auto"/>
            <w:u w:val="none"/>
          </w:rPr>
          <w:t>протоколом заседания</w:t>
        </w:r>
      </w:hyperlink>
      <w:r>
        <w:t xml:space="preserve"> Комиссии, кот</w:t>
      </w:r>
      <w:r>
        <w:t>о</w:t>
      </w:r>
      <w:r>
        <w:t>рый подписывается председательствующим на заседании Комиссии, секретарем,  членами Комиссии.</w:t>
      </w:r>
    </w:p>
    <w:p w:rsidR="00000000" w:rsidRDefault="00854064">
      <w:pPr>
        <w:pStyle w:val="aa"/>
      </w:pPr>
      <w:r>
        <w:tab/>
        <w:t xml:space="preserve">1.9. Задачами Комиссии являются: </w:t>
      </w:r>
    </w:p>
    <w:p w:rsidR="00000000" w:rsidRDefault="00854064">
      <w:pPr>
        <w:pStyle w:val="aa"/>
      </w:pPr>
      <w:r>
        <w:t>исчисление стажа муниципальной службы для установления муниципальным сл</w:t>
      </w:r>
      <w:r>
        <w:t>у</w:t>
      </w:r>
      <w:r>
        <w:t xml:space="preserve">жащим </w:t>
      </w:r>
      <w:hyperlink r:id="rId7" w:history="1">
        <w:r>
          <w:rPr>
            <w:rStyle w:val="a4"/>
            <w:color w:val="auto"/>
            <w:u w:val="none"/>
          </w:rPr>
          <w:t>ежемесячной надбавки</w:t>
        </w:r>
      </w:hyperlink>
      <w:r>
        <w:t xml:space="preserve">  к должностному окладу за </w:t>
      </w:r>
      <w:hyperlink r:id="rId8" w:history="1">
        <w:r>
          <w:rPr>
            <w:rStyle w:val="a4"/>
            <w:color w:val="auto"/>
            <w:u w:val="none"/>
          </w:rPr>
          <w:t>выслугу лет</w:t>
        </w:r>
      </w:hyperlink>
      <w:r>
        <w:t xml:space="preserve"> на муниц</w:t>
      </w:r>
      <w:r>
        <w:t>и</w:t>
      </w:r>
      <w:r>
        <w:t>пальной службе (при назначении на должность муниципальной службы,</w:t>
      </w:r>
      <w:r>
        <w:t xml:space="preserve"> при изм</w:t>
      </w:r>
      <w:r>
        <w:t>е</w:t>
      </w:r>
      <w:r>
        <w:t>нении стажа муниципальной службы).</w:t>
      </w:r>
    </w:p>
    <w:p w:rsidR="00000000" w:rsidRDefault="00854064">
      <w:pPr>
        <w:pStyle w:val="aa"/>
      </w:pPr>
      <w:r>
        <w:tab/>
        <w:t>2. Стаж муниципальной службы</w:t>
      </w:r>
    </w:p>
    <w:p w:rsidR="00000000" w:rsidRDefault="00854064">
      <w:pPr>
        <w:pStyle w:val="aa"/>
      </w:pPr>
      <w:r>
        <w:tab/>
        <w:t>2.1</w:t>
      </w:r>
      <w:proofErr w:type="gramStart"/>
      <w:r>
        <w:t xml:space="preserve"> В</w:t>
      </w:r>
      <w:proofErr w:type="gramEnd"/>
      <w:r>
        <w:t xml:space="preserve"> стаж (общую продолжительность) муниципальной службы муниц</w:t>
      </w:r>
      <w:r>
        <w:t>и</w:t>
      </w:r>
      <w:r>
        <w:t>пального служащего, дающий право на получение ежемесячной надбавки к дол</w:t>
      </w:r>
      <w:r>
        <w:t>ж</w:t>
      </w:r>
      <w:r>
        <w:t>ностному окладу за выслугу лет, включаются п</w:t>
      </w:r>
      <w:r>
        <w:t>ериоды замещения:</w:t>
      </w:r>
    </w:p>
    <w:p w:rsidR="00000000" w:rsidRDefault="00854064">
      <w:pPr>
        <w:pStyle w:val="aa"/>
      </w:pPr>
      <w:r>
        <w:lastRenderedPageBreak/>
        <w:t>1) должностей муниципальной службы;</w:t>
      </w:r>
    </w:p>
    <w:p w:rsidR="00000000" w:rsidRDefault="00854064">
      <w:pPr>
        <w:pStyle w:val="aa"/>
      </w:pPr>
      <w:r>
        <w:t>2) муниципальных должностей;</w:t>
      </w:r>
    </w:p>
    <w:p w:rsidR="00000000" w:rsidRDefault="00854064">
      <w:pPr>
        <w:pStyle w:val="aa"/>
      </w:pPr>
      <w:r>
        <w:t>3) государственных должностей РФ и государственных должностей субъектов РФ;</w:t>
      </w:r>
    </w:p>
    <w:p w:rsidR="00000000" w:rsidRDefault="00854064">
      <w:pPr>
        <w:pStyle w:val="aa"/>
      </w:pPr>
      <w:r>
        <w:t>4) должностей государственной гражданской службы, воинских должностей и должностей федеральной го</w:t>
      </w:r>
      <w:r>
        <w:t>сударственной службы иных видов;</w:t>
      </w:r>
    </w:p>
    <w:p w:rsidR="00000000" w:rsidRDefault="00854064">
      <w:pPr>
        <w:pStyle w:val="aa"/>
      </w:pPr>
      <w:r>
        <w:t>5) иных должностей в соответствии с федеральными законами.</w:t>
      </w:r>
    </w:p>
    <w:p w:rsidR="00000000" w:rsidRDefault="00854064">
      <w:pPr>
        <w:pStyle w:val="aa"/>
      </w:pPr>
      <w:r>
        <w:tab/>
        <w:t>2.2</w:t>
      </w:r>
      <w:proofErr w:type="gramStart"/>
      <w:r>
        <w:t xml:space="preserve"> П</w:t>
      </w:r>
      <w:proofErr w:type="gramEnd"/>
      <w:r>
        <w:t>ри исчислении стажа периоды службы (работы) суммируются.</w:t>
      </w:r>
    </w:p>
    <w:p w:rsidR="00000000" w:rsidRDefault="00854064">
      <w:pPr>
        <w:pStyle w:val="aa"/>
      </w:pPr>
      <w:r>
        <w:tab/>
        <w:t>2.3 Стаж муниципальной службы, дающий право на установление ежемеся</w:t>
      </w:r>
      <w:r>
        <w:t>ч</w:t>
      </w:r>
      <w:r>
        <w:t>ной надбавки к должностному окла</w:t>
      </w:r>
      <w:r>
        <w:t>ду за выслугу лет, устанавливается Комиссией</w:t>
      </w:r>
      <w:proofErr w:type="gramStart"/>
      <w:r>
        <w:t xml:space="preserve"> .</w:t>
      </w:r>
      <w:proofErr w:type="gramEnd"/>
      <w:r>
        <w:t xml:space="preserve"> </w:t>
      </w:r>
    </w:p>
    <w:p w:rsidR="00000000" w:rsidRDefault="00854064">
      <w:pPr>
        <w:pStyle w:val="aa"/>
      </w:pPr>
      <w:r>
        <w:tab/>
        <w:t xml:space="preserve">2.4 Решение Комиссии  оформляется протоколом </w:t>
      </w:r>
      <w:r>
        <w:rPr>
          <w:szCs w:val="28"/>
        </w:rPr>
        <w:t>комиссии по установлению (исчислению) стажа муниципальной службы  для начисления надбавок к дол</w:t>
      </w:r>
      <w:r>
        <w:rPr>
          <w:szCs w:val="28"/>
        </w:rPr>
        <w:t>ж</w:t>
      </w:r>
      <w:r>
        <w:rPr>
          <w:szCs w:val="28"/>
        </w:rPr>
        <w:t>ностному окладу за выслугу лет  муниципальным служащим администрац</w:t>
      </w:r>
      <w:r>
        <w:rPr>
          <w:szCs w:val="28"/>
        </w:rPr>
        <w:t xml:space="preserve">ии </w:t>
      </w:r>
      <w:r>
        <w:t>в сл</w:t>
      </w:r>
      <w:r>
        <w:t>е</w:t>
      </w:r>
      <w:r>
        <w:t>дующем размере: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4800"/>
        <w:gridCol w:w="4840"/>
      </w:tblGrid>
      <w:tr w:rsidR="0000000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54064">
            <w:pPr>
              <w:pStyle w:val="aa"/>
            </w:pPr>
            <w:r>
              <w:t>Стаж службы (работы)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54064">
            <w:pPr>
              <w:pStyle w:val="aa"/>
            </w:pPr>
            <w:r>
              <w:t>Размер ежемесячной надбавки к дол</w:t>
            </w:r>
            <w:r>
              <w:t>ж</w:t>
            </w:r>
            <w:r>
              <w:t>ностному окладу за выслугу лет, %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54064">
            <w:pPr>
              <w:pStyle w:val="aa"/>
            </w:pPr>
            <w:r>
              <w:t>от 1 года до 5 лет (включительно)</w:t>
            </w:r>
          </w:p>
        </w:tc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54064">
            <w:pPr>
              <w:pStyle w:val="aa"/>
            </w:pPr>
            <w:r>
              <w:t>10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54064">
            <w:pPr>
              <w:pStyle w:val="aa"/>
            </w:pPr>
            <w:r>
              <w:t>от 5 года до 10 лет (включительно)</w:t>
            </w:r>
          </w:p>
        </w:tc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54064">
            <w:pPr>
              <w:pStyle w:val="aa"/>
            </w:pPr>
            <w:r>
              <w:t>15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54064">
            <w:pPr>
              <w:pStyle w:val="aa"/>
            </w:pPr>
            <w:r>
              <w:t>от 10 года до 15 лет (включительно)</w:t>
            </w:r>
          </w:p>
        </w:tc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54064">
            <w:pPr>
              <w:pStyle w:val="aa"/>
            </w:pPr>
            <w:r>
              <w:t>20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54064">
            <w:pPr>
              <w:pStyle w:val="aa"/>
            </w:pPr>
            <w:r>
              <w:t>свыше 15 лет</w:t>
            </w:r>
          </w:p>
        </w:tc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54064">
            <w:pPr>
              <w:pStyle w:val="aa"/>
            </w:pPr>
            <w:r>
              <w:t>30</w:t>
            </w:r>
          </w:p>
        </w:tc>
      </w:tr>
    </w:tbl>
    <w:p w:rsidR="00000000" w:rsidRDefault="00854064">
      <w:pPr>
        <w:pStyle w:val="aa"/>
      </w:pPr>
      <w:r>
        <w:tab/>
      </w:r>
    </w:p>
    <w:p w:rsidR="00000000" w:rsidRDefault="00854064">
      <w:pPr>
        <w:pStyle w:val="aa"/>
      </w:pPr>
      <w:r>
        <w:tab/>
        <w:t xml:space="preserve">2.5. </w:t>
      </w:r>
      <w:r>
        <w:rPr>
          <w:szCs w:val="28"/>
        </w:rPr>
        <w:t xml:space="preserve">Периоды службы (работы) подсчитываются на основании сведений о трудовой деятельности, трудовом стаже, содержащихся в трудовой книжке, </w:t>
      </w:r>
      <w:r>
        <w:rPr>
          <w:szCs w:val="28"/>
        </w:rPr>
        <w:t>вое</w:t>
      </w:r>
      <w:r>
        <w:rPr>
          <w:szCs w:val="28"/>
        </w:rPr>
        <w:t>н</w:t>
      </w:r>
      <w:r>
        <w:rPr>
          <w:szCs w:val="28"/>
        </w:rPr>
        <w:t>ном билете, справке военного комиссариата</w:t>
      </w:r>
      <w:r>
        <w:rPr>
          <w:szCs w:val="28"/>
        </w:rPr>
        <w:t xml:space="preserve"> и в иных документах, подтвержда</w:t>
      </w:r>
      <w:r>
        <w:rPr>
          <w:szCs w:val="28"/>
        </w:rPr>
        <w:t>ю</w:t>
      </w:r>
      <w:r>
        <w:rPr>
          <w:szCs w:val="28"/>
        </w:rPr>
        <w:t>щих периоды службы (работы).</w:t>
      </w:r>
    </w:p>
    <w:p w:rsidR="00000000" w:rsidRDefault="00854064">
      <w:pPr>
        <w:pStyle w:val="aa"/>
      </w:pPr>
      <w:r>
        <w:rPr>
          <w:szCs w:val="28"/>
        </w:rPr>
        <w:t xml:space="preserve"> </w:t>
      </w:r>
      <w:r>
        <w:rPr>
          <w:szCs w:val="28"/>
        </w:rPr>
        <w:tab/>
        <w:t xml:space="preserve">2.6. </w:t>
      </w:r>
      <w:proofErr w:type="gramStart"/>
      <w:r>
        <w:rPr>
          <w:szCs w:val="28"/>
        </w:rPr>
        <w:t>В стаж м</w:t>
      </w:r>
      <w:r>
        <w:rPr>
          <w:szCs w:val="28"/>
        </w:rPr>
        <w:t>униципальной службы для определения продолжительности ежегодного дополнительного оплачиваемого отпуска за выслугу лет, предоставл</w:t>
      </w:r>
      <w:r>
        <w:rPr>
          <w:szCs w:val="28"/>
        </w:rPr>
        <w:t>я</w:t>
      </w:r>
      <w:r>
        <w:rPr>
          <w:szCs w:val="28"/>
        </w:rPr>
        <w:t>емого муниципальным служащим, и установления им других гарантий, пред</w:t>
      </w:r>
      <w:r>
        <w:rPr>
          <w:szCs w:val="28"/>
        </w:rPr>
        <w:t>у</w:t>
      </w:r>
      <w:r>
        <w:rPr>
          <w:szCs w:val="28"/>
        </w:rPr>
        <w:t>смотренных федеральными законами, законами Карачаево-Чер</w:t>
      </w:r>
      <w:r>
        <w:rPr>
          <w:szCs w:val="28"/>
        </w:rPr>
        <w:t>кесской Республики и уставами муниципальных образований, помимо периодов замещения должн</w:t>
      </w:r>
      <w:r>
        <w:rPr>
          <w:szCs w:val="28"/>
        </w:rPr>
        <w:t>о</w:t>
      </w:r>
      <w:r>
        <w:rPr>
          <w:szCs w:val="28"/>
        </w:rPr>
        <w:t>стей, указанных в части 1 статьи 25 Федерального закона, включаются (засчит</w:t>
      </w:r>
      <w:r>
        <w:rPr>
          <w:szCs w:val="28"/>
        </w:rPr>
        <w:t>ы</w:t>
      </w:r>
      <w:r>
        <w:rPr>
          <w:szCs w:val="28"/>
        </w:rPr>
        <w:t>ваются) также периоды замещения должностей, включаемые (засчитываемые) в стаж государственн</w:t>
      </w:r>
      <w:r>
        <w:rPr>
          <w:szCs w:val="28"/>
        </w:rPr>
        <w:t>ой гражданской службы в соответствии с</w:t>
      </w:r>
      <w:proofErr w:type="gramEnd"/>
      <w:r>
        <w:rPr>
          <w:szCs w:val="28"/>
        </w:rPr>
        <w:t xml:space="preserve"> частью 2 статьи 54 Федерального закона от 27 июля 2004 г. N 79-ФЗ "О государственной гражданской службе Российской Федерации".</w:t>
      </w:r>
    </w:p>
    <w:p w:rsidR="00000000" w:rsidRDefault="00854064">
      <w:pPr>
        <w:pStyle w:val="aa"/>
      </w:pPr>
      <w:r>
        <w:rPr>
          <w:szCs w:val="28"/>
        </w:rPr>
        <w:tab/>
        <w:t>2.7. При подсчете стажа муниципальной службы периоды службы (работы) суммируются.</w:t>
      </w:r>
    </w:p>
    <w:p w:rsidR="00000000" w:rsidRDefault="00854064">
      <w:pPr>
        <w:pStyle w:val="aa"/>
      </w:pPr>
      <w:r>
        <w:tab/>
        <w:t>2.8. С</w:t>
      </w:r>
      <w:r>
        <w:t>таж муниципальной службы пересчитывается в случаях:</w:t>
      </w:r>
    </w:p>
    <w:p w:rsidR="00000000" w:rsidRDefault="00854064">
      <w:pPr>
        <w:pStyle w:val="aa"/>
      </w:pPr>
      <w:r>
        <w:t>а) внесения изменений и дополнений в законодательство РФ, законодательство К</w:t>
      </w:r>
      <w:r>
        <w:t>а</w:t>
      </w:r>
      <w:r>
        <w:t>рача6во-Черкесской Республики, в соответствии с которым исчисляется стаж м</w:t>
      </w:r>
      <w:r>
        <w:t>у</w:t>
      </w:r>
      <w:r>
        <w:t xml:space="preserve">ниципальной службы. При этом стаж пересчитывается с </w:t>
      </w:r>
      <w:r>
        <w:t>первого числа месяца, следующего за месяцем вступления в силу соответствующего нормативного пр</w:t>
      </w:r>
      <w:r>
        <w:t>а</w:t>
      </w:r>
      <w:r>
        <w:t>вового акта, если иное не указано в самом нормативном правовом акте.</w:t>
      </w:r>
    </w:p>
    <w:p w:rsidR="00000000" w:rsidRDefault="00854064">
      <w:pPr>
        <w:pStyle w:val="aa"/>
      </w:pPr>
      <w:r>
        <w:t>б) предоставления документов, подтверждающих обоснованность включения в стаж муниципальной с</w:t>
      </w:r>
      <w:r>
        <w:t>лужбы соответствующего периода работы. При этом стаж муниципальной службы пересчитывается со дня предоставления таких докуме</w:t>
      </w:r>
      <w:r>
        <w:t>н</w:t>
      </w:r>
      <w:r>
        <w:t>тов.</w:t>
      </w:r>
    </w:p>
    <w:p w:rsidR="00000000" w:rsidRDefault="00854064">
      <w:pPr>
        <w:pStyle w:val="aa"/>
      </w:pPr>
      <w:r>
        <w:lastRenderedPageBreak/>
        <w:tab/>
        <w:t>2.9. В случае установления Комиссией необоснованного увеличения стажа муниципальной службы, данная Комиссия принимает решение</w:t>
      </w:r>
      <w:r>
        <w:t xml:space="preserve"> о перерасчете ст</w:t>
      </w:r>
      <w:r>
        <w:t>а</w:t>
      </w:r>
      <w:r>
        <w:t>жа со дня обнаружения ошибки.</w:t>
      </w:r>
    </w:p>
    <w:p w:rsidR="00000000" w:rsidRDefault="00854064">
      <w:pPr>
        <w:pStyle w:val="aa"/>
      </w:pPr>
      <w:r>
        <w:tab/>
        <w:t>2.9.1. При установлении Комиссией необоснованного уменьшения стажа м</w:t>
      </w:r>
      <w:r>
        <w:t>у</w:t>
      </w:r>
      <w:r>
        <w:t>ниципальной службы, данная Комиссия принимает решение о его перерасчете со дня неправомерного (ошибочного) исчисления стажа.</w:t>
      </w:r>
    </w:p>
    <w:p w:rsidR="00000000" w:rsidRDefault="00854064">
      <w:pPr>
        <w:pStyle w:val="aa"/>
      </w:pPr>
      <w:r>
        <w:tab/>
        <w:t>2.9.2.Перера</w:t>
      </w:r>
      <w:r>
        <w:t>счет размера ежемесячной надбавки за выслугу лет производи</w:t>
      </w:r>
      <w:r>
        <w:t>т</w:t>
      </w:r>
      <w:r>
        <w:t>ся соответственного со дня обнаружения ошибки или со дня неправомерного и</w:t>
      </w:r>
      <w:r>
        <w:t>с</w:t>
      </w:r>
      <w:r>
        <w:t>числения стажа муниципальной службы, но не более чем за три года до дня прин</w:t>
      </w:r>
      <w:r>
        <w:t>я</w:t>
      </w:r>
      <w:r>
        <w:t>тия вышеуказанной комиссией решения об его уве</w:t>
      </w:r>
      <w:r>
        <w:t>личении.</w:t>
      </w:r>
    </w:p>
    <w:p w:rsidR="00000000" w:rsidRDefault="00854064">
      <w:pPr>
        <w:pStyle w:val="aa"/>
      </w:pPr>
      <w:r>
        <w:rPr>
          <w:szCs w:val="28"/>
        </w:rPr>
        <w:tab/>
        <w:t>2.10. Решения комиссии по исчислению стажа носят обязательный характер со дня принятия комиссией по исчислению стажа соответствующих решений.</w:t>
      </w: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566253" w:rsidP="00566253">
      <w:pPr>
        <w:pStyle w:val="aa"/>
        <w:jc w:val="center"/>
        <w:rPr>
          <w:szCs w:val="28"/>
        </w:rPr>
      </w:pPr>
      <w:r>
        <w:rPr>
          <w:szCs w:val="28"/>
        </w:rPr>
        <w:t>_________________</w:t>
      </w: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566253" w:rsidRDefault="00566253">
      <w:pPr>
        <w:pStyle w:val="aa"/>
        <w:rPr>
          <w:szCs w:val="28"/>
        </w:rPr>
      </w:pPr>
    </w:p>
    <w:p w:rsidR="00566253" w:rsidRDefault="00566253">
      <w:pPr>
        <w:pStyle w:val="aa"/>
        <w:rPr>
          <w:szCs w:val="28"/>
        </w:rPr>
      </w:pPr>
    </w:p>
    <w:p w:rsidR="00566253" w:rsidRDefault="00566253">
      <w:pPr>
        <w:pStyle w:val="aa"/>
        <w:rPr>
          <w:szCs w:val="28"/>
        </w:rPr>
      </w:pPr>
    </w:p>
    <w:p w:rsidR="00566253" w:rsidRDefault="00566253">
      <w:pPr>
        <w:pStyle w:val="aa"/>
        <w:rPr>
          <w:szCs w:val="28"/>
        </w:rPr>
      </w:pPr>
    </w:p>
    <w:p w:rsidR="00566253" w:rsidRDefault="00566253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p w:rsidR="00000000" w:rsidRDefault="00854064">
      <w:pPr>
        <w:pStyle w:val="aa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748"/>
      </w:tblGrid>
      <w:tr w:rsidR="00000000">
        <w:tc>
          <w:tcPr>
            <w:tcW w:w="4503" w:type="dxa"/>
            <w:shd w:val="clear" w:color="auto" w:fill="auto"/>
          </w:tcPr>
          <w:p w:rsidR="00000000" w:rsidRDefault="00854064">
            <w:pPr>
              <w:snapToGrid w:val="0"/>
            </w:pPr>
          </w:p>
        </w:tc>
        <w:tc>
          <w:tcPr>
            <w:tcW w:w="5748" w:type="dxa"/>
            <w:shd w:val="clear" w:color="auto" w:fill="auto"/>
          </w:tcPr>
          <w:p w:rsidR="00000000" w:rsidRDefault="0085406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000000" w:rsidRDefault="0085406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Урупского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0000" w:rsidRDefault="00854064">
      <w:pPr>
        <w:jc w:val="both"/>
      </w:pPr>
    </w:p>
    <w:p w:rsidR="00000000" w:rsidRDefault="00854064">
      <w:pPr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 О С Т А В</w:t>
      </w:r>
    </w:p>
    <w:p w:rsidR="00000000" w:rsidRDefault="00854064">
      <w:pPr>
        <w:pStyle w:val="aa"/>
        <w:jc w:val="center"/>
      </w:pPr>
      <w:r>
        <w:rPr>
          <w:szCs w:val="28"/>
        </w:rPr>
        <w:t xml:space="preserve">комиссии по установлению (исчислению) стажа муниципальной службы  для начисления надбавок к должностному окладу за выслугу лет  муниципальным служащим администрации Урупского муниципального района </w:t>
      </w:r>
    </w:p>
    <w:p w:rsidR="00000000" w:rsidRDefault="00854064">
      <w:pPr>
        <w:jc w:val="both"/>
      </w:pPr>
    </w:p>
    <w:p w:rsidR="00000000" w:rsidRDefault="0085406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8"/>
        <w:gridCol w:w="310"/>
        <w:gridCol w:w="5850"/>
      </w:tblGrid>
      <w:tr w:rsidR="00000000">
        <w:tc>
          <w:tcPr>
            <w:tcW w:w="4168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proofErr w:type="spellStart"/>
            <w:r>
              <w:rPr>
                <w:sz w:val="28"/>
                <w:szCs w:val="28"/>
              </w:rPr>
              <w:t>Ижаев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Кя</w:t>
            </w:r>
            <w:r>
              <w:rPr>
                <w:sz w:val="28"/>
                <w:szCs w:val="28"/>
              </w:rPr>
              <w:t>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0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r>
              <w:rPr>
                <w:sz w:val="28"/>
                <w:szCs w:val="28"/>
              </w:rPr>
              <w:t>первый заместитель главы администрации Урупского муниципального района,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 комиссии, председатель комиссии</w:t>
            </w:r>
          </w:p>
          <w:p w:rsidR="00000000" w:rsidRDefault="00854064">
            <w:pPr>
              <w:snapToGrid w:val="0"/>
              <w:jc w:val="both"/>
            </w:pPr>
          </w:p>
        </w:tc>
      </w:tr>
      <w:tr w:rsidR="00000000">
        <w:tc>
          <w:tcPr>
            <w:tcW w:w="4168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Сеитали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Клычгериевич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0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главы администрации Урупского муниципального района, заместитель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дателя</w:t>
            </w:r>
            <w:r>
              <w:rPr>
                <w:sz w:val="28"/>
                <w:szCs w:val="28"/>
              </w:rPr>
              <w:t xml:space="preserve"> комиссии </w:t>
            </w:r>
          </w:p>
          <w:p w:rsidR="00000000" w:rsidRDefault="00854064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000000">
        <w:tc>
          <w:tcPr>
            <w:tcW w:w="4168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r>
              <w:rPr>
                <w:sz w:val="28"/>
                <w:szCs w:val="28"/>
              </w:rPr>
              <w:t>Дмитриева Ольга Владимировна</w:t>
            </w:r>
          </w:p>
        </w:tc>
        <w:tc>
          <w:tcPr>
            <w:tcW w:w="310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0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r>
              <w:rPr>
                <w:sz w:val="28"/>
                <w:szCs w:val="28"/>
              </w:rPr>
              <w:t>заместитель начальника  отдела по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ционным и общим вопросам, кадровому,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вовому обеспечению и мобилизационной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боте администрации, секретарь комисс</w:t>
            </w:r>
            <w:r>
              <w:rPr>
                <w:sz w:val="28"/>
                <w:szCs w:val="28"/>
              </w:rPr>
              <w:t xml:space="preserve">ии </w:t>
            </w:r>
          </w:p>
        </w:tc>
      </w:tr>
      <w:tr w:rsidR="00000000">
        <w:tc>
          <w:tcPr>
            <w:tcW w:w="4168" w:type="dxa"/>
            <w:shd w:val="clear" w:color="auto" w:fill="auto"/>
          </w:tcPr>
          <w:p w:rsidR="00000000" w:rsidRDefault="008540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0" w:type="dxa"/>
            <w:shd w:val="clear" w:color="auto" w:fill="auto"/>
          </w:tcPr>
          <w:p w:rsidR="00000000" w:rsidRDefault="0085406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10328" w:type="dxa"/>
            <w:gridSpan w:val="3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000000" w:rsidRDefault="0085406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4168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proofErr w:type="spellStart"/>
            <w:r>
              <w:rPr>
                <w:sz w:val="28"/>
                <w:szCs w:val="28"/>
              </w:rPr>
              <w:t>Бостанова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Мухатиновна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000000" w:rsidRDefault="008540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</w:tcPr>
          <w:p w:rsidR="00000000" w:rsidRDefault="00854064">
            <w:pPr>
              <w:pStyle w:val="aa"/>
            </w:pPr>
            <w:r>
              <w:t>заместитель начальника  отдела социально-экономического развития, бухгалтерского учета и имущественных отношений, главный бухгалтер администрации Урупского муниц</w:t>
            </w:r>
            <w:r>
              <w:t>и</w:t>
            </w:r>
            <w:r>
              <w:t xml:space="preserve">пального района </w:t>
            </w:r>
          </w:p>
          <w:p w:rsidR="00000000" w:rsidRDefault="00854064">
            <w:pPr>
              <w:pStyle w:val="aa"/>
            </w:pPr>
          </w:p>
        </w:tc>
      </w:tr>
      <w:tr w:rsidR="00000000">
        <w:tc>
          <w:tcPr>
            <w:tcW w:w="4168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proofErr w:type="spellStart"/>
            <w:r>
              <w:rPr>
                <w:sz w:val="28"/>
                <w:szCs w:val="28"/>
              </w:rPr>
              <w:t>Байрамкулов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0000" w:rsidRDefault="00854064">
            <w:pPr>
              <w:snapToGrid w:val="0"/>
              <w:jc w:val="both"/>
            </w:pPr>
            <w:r>
              <w:rPr>
                <w:sz w:val="28"/>
                <w:szCs w:val="28"/>
              </w:rPr>
              <w:t>Маг</w:t>
            </w:r>
            <w:r>
              <w:rPr>
                <w:sz w:val="28"/>
                <w:szCs w:val="28"/>
              </w:rPr>
              <w:t xml:space="preserve">омет </w:t>
            </w:r>
            <w:proofErr w:type="spellStart"/>
            <w:r>
              <w:rPr>
                <w:sz w:val="28"/>
                <w:szCs w:val="28"/>
              </w:rPr>
              <w:t>Анзорович</w:t>
            </w:r>
            <w:proofErr w:type="spellEnd"/>
          </w:p>
          <w:p w:rsidR="00000000" w:rsidRDefault="00854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00000" w:rsidRDefault="00854064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0" w:type="dxa"/>
            <w:shd w:val="clear" w:color="auto" w:fill="auto"/>
          </w:tcPr>
          <w:p w:rsidR="00000000" w:rsidRDefault="00854064">
            <w:pPr>
              <w:pStyle w:val="aa"/>
            </w:pPr>
            <w:r>
              <w:t>юрисконсульт</w:t>
            </w:r>
          </w:p>
        </w:tc>
      </w:tr>
    </w:tbl>
    <w:p w:rsidR="00000000" w:rsidRDefault="00854064" w:rsidP="00566253">
      <w:pPr>
        <w:pStyle w:val="aa"/>
        <w:jc w:val="center"/>
      </w:pPr>
      <w:r>
        <w:br/>
      </w:r>
      <w:r w:rsidR="00566253">
        <w:t>_____________________</w:t>
      </w:r>
      <w:bookmarkStart w:id="0" w:name="_GoBack"/>
      <w:bookmarkEnd w:id="0"/>
    </w:p>
    <w:p w:rsidR="00854064" w:rsidRDefault="00854064">
      <w:pPr>
        <w:pStyle w:val="ConsPlusNormal"/>
        <w:widowControl/>
        <w:ind w:firstLine="0"/>
        <w:jc w:val="right"/>
        <w:rPr>
          <w:sz w:val="28"/>
          <w:szCs w:val="28"/>
        </w:rPr>
      </w:pPr>
    </w:p>
    <w:sectPr w:rsidR="00854064">
      <w:pgSz w:w="11906" w:h="16838"/>
      <w:pgMar w:top="851" w:right="56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Franklin Gothic Demi">
    <w:charset w:val="CC"/>
    <w:family w:val="swiss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7C3"/>
    <w:rsid w:val="00566253"/>
    <w:rsid w:val="00854064"/>
    <w:rsid w:val="00A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660" w:firstLine="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pacing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Pr>
      <w:rFonts w:ascii="Franklin Gothic Demi" w:hAnsi="Franklin Gothic Demi" w:cs="Franklin Gothic Demi"/>
      <w:i/>
      <w:iCs/>
      <w:sz w:val="34"/>
      <w:szCs w:val="34"/>
    </w:rPr>
  </w:style>
  <w:style w:type="character" w:customStyle="1" w:styleId="FontStyle13">
    <w:name w:val="Font Style13"/>
    <w:rPr>
      <w:rFonts w:ascii="Arial" w:hAnsi="Arial" w:cs="Arial"/>
      <w:i/>
      <w:iCs/>
      <w:sz w:val="24"/>
      <w:szCs w:val="24"/>
    </w:rPr>
  </w:style>
  <w:style w:type="character" w:customStyle="1" w:styleId="FontStyle14">
    <w:name w:val="Font Style14"/>
    <w:rPr>
      <w:rFonts w:ascii="Impact" w:hAnsi="Impact" w:cs="Impact"/>
      <w:spacing w:val="-10"/>
      <w:sz w:val="34"/>
      <w:szCs w:val="34"/>
    </w:rPr>
  </w:style>
  <w:style w:type="character" w:customStyle="1" w:styleId="a3">
    <w:name w:val="Символ нумерации"/>
    <w:rPr>
      <w:rFonts w:ascii="Times New Roman" w:hAnsi="Times New Roman" w:cs="Times New Roman"/>
      <w:sz w:val="28"/>
      <w:szCs w:val="28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сноски"/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a9">
    <w:name w:val="Заголовок"/>
    <w:basedOn w:val="a"/>
    <w:next w:val="aa"/>
    <w:pPr>
      <w:spacing w:line="360" w:lineRule="auto"/>
      <w:jc w:val="center"/>
    </w:pPr>
    <w:rPr>
      <w:sz w:val="28"/>
    </w:rPr>
  </w:style>
  <w:style w:type="paragraph" w:styleId="aa">
    <w:name w:val="Body Text"/>
    <w:basedOn w:val="a"/>
    <w:pPr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ind w:firstLine="708"/>
      <w:jc w:val="both"/>
    </w:pPr>
    <w:rPr>
      <w:sz w:val="28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2" w:lineRule="exact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4" w:lineRule="exact"/>
      <w:ind w:firstLine="696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2" w:lineRule="exact"/>
      <w:ind w:firstLine="715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Microsoft Sans Serif" w:hAnsi="Microsoft Sans Serif" w:cs="Microsoft Sans Serif"/>
      <w:sz w:val="24"/>
      <w:szCs w:val="24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2">
    <w:name w:val="footnote text"/>
    <w:basedOn w:val="a"/>
    <w:pPr>
      <w:suppressLineNumbers/>
      <w:ind w:left="339" w:hanging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sluga_l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ezhemesyachnaya_nadba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hyperlink" Target="http://pandia.ru/text/category/konstitutciya_rossijskoj_federatc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Приемная</dc:creator>
  <cp:lastModifiedBy>obschiy</cp:lastModifiedBy>
  <cp:revision>3</cp:revision>
  <cp:lastPrinted>2018-04-20T08:59:00Z</cp:lastPrinted>
  <dcterms:created xsi:type="dcterms:W3CDTF">2018-04-20T11:27:00Z</dcterms:created>
  <dcterms:modified xsi:type="dcterms:W3CDTF">2018-04-20T11:29:00Z</dcterms:modified>
</cp:coreProperties>
</file>